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B4DE">
      <w:pPr>
        <w:spacing w:after="156" w:afterLines="50"/>
        <w:jc w:val="center"/>
        <w:outlineLvl w:val="0"/>
        <w:rPr>
          <w:rFonts w:ascii="宋体" w:hAnsi="宋体" w:eastAsia="宋体" w:cs="Times New Roman"/>
          <w:b/>
          <w:sz w:val="32"/>
          <w:szCs w:val="32"/>
        </w:rPr>
      </w:pPr>
      <w:bookmarkStart w:id="0" w:name="_Toc65143196"/>
      <w:bookmarkStart w:id="1" w:name="_Toc103671954"/>
      <w:bookmarkStart w:id="2" w:name="_Toc74039604"/>
      <w:r>
        <w:rPr>
          <w:rFonts w:hint="eastAsia" w:ascii="宋体" w:hAnsi="宋体" w:eastAsia="宋体" w:cs="Times New Roman"/>
          <w:b/>
          <w:sz w:val="32"/>
          <w:szCs w:val="32"/>
        </w:rPr>
        <w:t>师资招聘</w:t>
      </w:r>
    </w:p>
    <w:p w14:paraId="23F8989A">
      <w:pPr>
        <w:spacing w:after="156" w:afterLines="50"/>
        <w:outlineLvl w:val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文字素材</w:t>
      </w:r>
    </w:p>
    <w:bookmarkEnd w:id="0"/>
    <w:bookmarkEnd w:id="1"/>
    <w:bookmarkEnd w:id="2"/>
    <w:p w14:paraId="28D69668">
      <w:pPr>
        <w:spacing w:after="156" w:afterLines="50"/>
        <w:outlineLvl w:val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一、学院简介</w:t>
      </w:r>
    </w:p>
    <w:p w14:paraId="4B5A48B5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上海财经大学统计与数据科学学院源于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1946年设立的统计学系，是上海财经大学设立最早的系科之一。在邹依仁、薛仲三、褚凤仪、金国宝、朱君毅、赵章甫、陈善林、郑德如、贾宏宇、胡国华、马家善、田竞和、黄树颜、郑菊生等统计先贤的开创与引领下，学院先后获批全国首批统计学硕士学位授予点、全国首批统计学博士授予点、全国首批统计学博士后流动站、全国首批应用统计专业硕士学位授予点，形成从本科到博士后的完整人才培养体系，并入选教育部基础学科系列统计学“101计划”。</w:t>
      </w:r>
    </w:p>
    <w:p w14:paraId="2A3AEF74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学院以“夯实数理基础、丰富方法体系、拓宽应用方向”为学科发展理念，在注重发展统计理论与方法的基础上，积极向数据科学进行拓展，并强调统计学在中国经济、金融等现实领域中的应用，促进多学科交叉融合。统计学先后入选财政部重点学科、上海市重点学科、上海高校一流学科（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A类）、首轮国家“双一流”建设学科，在教育部历次学科评估名列前茅，在2024软科世界一流学科排名中进入全球前200。</w:t>
      </w:r>
      <w:r>
        <w:drawing>
          <wp:inline distT="0" distB="0" distL="0" distR="0">
            <wp:extent cx="5273675" cy="3112770"/>
            <wp:effectExtent l="0" t="0" r="3175" b="0"/>
            <wp:docPr id="5" name="图片 5" descr="C:\Users\Administrator\Documents\WXWork\1688852877336552\Cache\Image\2023-06\QQ截图20230615160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XWork\1688852877336552\Cache\Image\2023-06\QQ截图202306151605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834" cy="31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8AB8">
      <w:pPr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统计与数据科学学院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师资力量雄厚，目前有专任教师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53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人，全部具有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博士学位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其中从海外获得博士学位教师27人。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现有师资队伍中正高职称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14人，副高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职称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25人，中级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职称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14人。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另有特聘教授4人。</w:t>
      </w:r>
      <w:bookmarkStart w:id="3" w:name="_GoBack"/>
      <w:bookmarkEnd w:id="3"/>
    </w:p>
    <w:p w14:paraId="09954F4A">
      <w:pPr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 w14:paraId="57E6C1BB"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 w14:paraId="505892EC">
      <w:pPr>
        <w:spacing w:line="360" w:lineRule="auto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</w:p>
    <w:p w14:paraId="12A56B9D">
      <w:pPr>
        <w:widowControl/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上海财经大学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统计与数据科学学院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的研究领域涉及统计学、机器学习、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数据科学、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计量经济学、运筹学、概率论等。学院致力于汇聚一流的师资，培育一流的人才！在此，上海财经大学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统计与数据科学学院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诚邀海内外各层次优秀人才的加盟！</w:t>
      </w:r>
    </w:p>
    <w:p w14:paraId="18B8968E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60D01B56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二、招聘岗位</w:t>
      </w:r>
    </w:p>
    <w:p w14:paraId="774C41F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（一）岗位一：</w:t>
      </w:r>
    </w:p>
    <w:p w14:paraId="56BAF38E">
      <w:pPr>
        <w:pStyle w:val="15"/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各层次常任轨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(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Open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-rank Tenure-Track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 xml:space="preserve">) </w:t>
      </w:r>
    </w:p>
    <w:p w14:paraId="74115C74">
      <w:pPr>
        <w:pStyle w:val="15"/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助理教授-研究轨(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R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esearch-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T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rack）</w:t>
      </w:r>
    </w:p>
    <w:p w14:paraId="1B591AA2">
      <w:pPr>
        <w:pStyle w:val="15"/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领军人才（一事一议）</w:t>
      </w:r>
    </w:p>
    <w:p w14:paraId="21C6B2D2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1、应聘条件：</w:t>
      </w:r>
    </w:p>
    <w:p w14:paraId="484DD4D6">
      <w:pPr>
        <w:pStyle w:val="1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具有统计学、数据科学、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计算机科学、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计量经济学/数量经济学、运筹学、概率与精算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应用数学</w:t>
      </w:r>
      <w:r>
        <w:rPr>
          <w:rFonts w:ascii="Times New Roman" w:hAnsi="Times New Roman"/>
          <w:color w:val="000000"/>
          <w:kern w:val="0"/>
          <w:sz w:val="24"/>
          <w:szCs w:val="24"/>
        </w:rPr>
        <w:t>等相关学科海内外知名大学博士学位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（或即将于2</w:t>
      </w:r>
      <w:r>
        <w:rPr>
          <w:rFonts w:ascii="Times New Roman" w:hAnsi="Times New Roman"/>
          <w:color w:val="000000"/>
          <w:kern w:val="0"/>
          <w:sz w:val="24"/>
          <w:szCs w:val="24"/>
        </w:rPr>
        <w:t>026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年8月前获得博士学位）</w:t>
      </w:r>
    </w:p>
    <w:p w14:paraId="10927B88">
      <w:pPr>
        <w:pStyle w:val="1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在国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内外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主流刊物发表过研究论文；具有良好的英文阅读、交流及写作能力</w:t>
      </w:r>
    </w:p>
    <w:p w14:paraId="4612B88D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、薪酬待遇：</w:t>
      </w:r>
    </w:p>
    <w:p w14:paraId="79844270">
      <w:pPr>
        <w:widowControl/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在国内外具有竞争力的薪酬待遇以及科研条件。周转房、住房补贴、科研启动经费、子女入学等。</w:t>
      </w:r>
    </w:p>
    <w:p w14:paraId="131D08B0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AC9F236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（二）岗位二：统计学方向博士后（聘期2年），1-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人</w:t>
      </w:r>
    </w:p>
    <w:p w14:paraId="02E07AA8">
      <w:pPr>
        <w:pStyle w:val="2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1、应聘条件</w:t>
      </w:r>
    </w:p>
    <w:p w14:paraId="074569B1">
      <w:pPr>
        <w:pStyle w:val="20"/>
        <w:numPr>
          <w:ilvl w:val="0"/>
          <w:numId w:val="3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具有</w:t>
      </w:r>
      <w:r>
        <w:rPr>
          <w:rFonts w:hint="eastAsia" w:ascii="宋体" w:hAnsi="宋体" w:eastAsia="宋体"/>
          <w:b/>
          <w:sz w:val="24"/>
          <w:szCs w:val="24"/>
        </w:rPr>
        <w:t>统计学、数学、计算机科学、经济学、运筹学等</w:t>
      </w:r>
      <w:r>
        <w:rPr>
          <w:rFonts w:hint="eastAsia" w:ascii="宋体" w:hAnsi="宋体" w:eastAsia="宋体"/>
          <w:sz w:val="24"/>
          <w:szCs w:val="24"/>
        </w:rPr>
        <w:t>相关学科博士学位（或即将于2</w:t>
      </w:r>
      <w:r>
        <w:rPr>
          <w:rFonts w:ascii="宋体" w:hAnsi="宋体" w:eastAsia="宋体"/>
          <w:sz w:val="24"/>
          <w:szCs w:val="24"/>
        </w:rPr>
        <w:t>026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月前获得博士学位）。</w:t>
      </w:r>
    </w:p>
    <w:p w14:paraId="7834C293">
      <w:pPr>
        <w:pStyle w:val="20"/>
        <w:numPr>
          <w:ilvl w:val="0"/>
          <w:numId w:val="3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年龄原则上3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周岁以下，特别优秀者可适当放宽。</w:t>
      </w:r>
    </w:p>
    <w:p w14:paraId="270E1284">
      <w:pPr>
        <w:pStyle w:val="20"/>
        <w:rPr>
          <w:rFonts w:ascii="宋体" w:hAnsi="宋体" w:eastAsia="宋体"/>
          <w:sz w:val="24"/>
          <w:szCs w:val="24"/>
        </w:rPr>
      </w:pPr>
    </w:p>
    <w:p w14:paraId="19AC87BE">
      <w:pPr>
        <w:pStyle w:val="2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2、岗位职责</w:t>
      </w:r>
    </w:p>
    <w:p w14:paraId="4F7D8ADF">
      <w:pPr>
        <w:pStyle w:val="20"/>
        <w:ind w:left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博士后人事关系进上海财经大学统计学博士后流动站，指导老师为上海财经大学</w:t>
      </w:r>
      <w:r>
        <w:rPr>
          <w:rFonts w:hint="eastAsia" w:ascii="宋体" w:hAnsi="宋体" w:eastAsia="宋体"/>
          <w:sz w:val="24"/>
          <w:szCs w:val="24"/>
          <w:lang w:eastAsia="zh-CN"/>
        </w:rPr>
        <w:t>统计与数据科学学院</w:t>
      </w:r>
      <w:r>
        <w:rPr>
          <w:rFonts w:hint="eastAsia" w:ascii="宋体" w:hAnsi="宋体" w:eastAsia="宋体"/>
          <w:sz w:val="24"/>
          <w:szCs w:val="24"/>
        </w:rPr>
        <w:t>博士生导师。</w:t>
      </w:r>
      <w:r>
        <w:rPr>
          <w:rFonts w:hint="eastAsia" w:ascii="宋体" w:hAnsi="宋体" w:eastAsia="宋体"/>
          <w:b/>
          <w:sz w:val="24"/>
          <w:szCs w:val="24"/>
        </w:rPr>
        <w:t>在站期间，每年一学期需在中国石油大学克拉玛依校区工作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A5D9366">
      <w:pPr>
        <w:pStyle w:val="20"/>
        <w:rPr>
          <w:rFonts w:ascii="宋体" w:hAnsi="宋体" w:eastAsia="宋体"/>
          <w:sz w:val="24"/>
          <w:szCs w:val="24"/>
        </w:rPr>
      </w:pPr>
    </w:p>
    <w:p w14:paraId="5E3C41BB">
      <w:pPr>
        <w:pStyle w:val="2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3、薪酬待遇</w:t>
      </w:r>
    </w:p>
    <w:p w14:paraId="58F242D1">
      <w:pPr>
        <w:pStyle w:val="20"/>
        <w:numPr>
          <w:ilvl w:val="0"/>
          <w:numId w:val="4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在上海财经大学博士后流动站基本待遇基础上，中国石油大学克拉玛依校区将为博士后发放工作津贴，税前-标准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万元/年</w:t>
      </w:r>
    </w:p>
    <w:p w14:paraId="4553928C">
      <w:pPr>
        <w:pStyle w:val="20"/>
        <w:numPr>
          <w:ilvl w:val="0"/>
          <w:numId w:val="4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上海财经大学和中国石油大学克拉玛依校区均提供公寓，配备必要的基本家具，供博士后在校期间使用。</w:t>
      </w:r>
    </w:p>
    <w:p w14:paraId="035BE946">
      <w:pPr>
        <w:pStyle w:val="20"/>
        <w:numPr>
          <w:ilvl w:val="0"/>
          <w:numId w:val="4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博士后出站考核结果为良好或以上，如有意愿在克拉玛依校区工作，可以直接办理入职手续。</w:t>
      </w:r>
    </w:p>
    <w:p w14:paraId="43094B02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三、应聘方式</w:t>
      </w:r>
    </w:p>
    <w:p w14:paraId="47E9BED1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将个人应聘材料（包括个人简历、个人陈述、科研情况介绍、教学情况介绍、主要学术成果等）发送至</w:t>
      </w:r>
      <w:r>
        <w:fldChar w:fldCharType="begin"/>
      </w:r>
      <w:r>
        <w:instrText xml:space="preserve"> HYPERLINK "mailto:recruit.ssm@mail.shufe.edu.cn" </w:instrText>
      </w:r>
      <w:r>
        <w:fldChar w:fldCharType="separate"/>
      </w:r>
      <w:r>
        <w:rPr>
          <w:rStyle w:val="11"/>
          <w:rFonts w:ascii="Times New Roman" w:hAnsi="Times New Roman"/>
          <w:kern w:val="0"/>
          <w:sz w:val="24"/>
          <w:szCs w:val="24"/>
        </w:rPr>
        <w:t>recruit.ssm@mail.shufe.edu.cn</w:t>
      </w:r>
      <w:r>
        <w:rPr>
          <w:rStyle w:val="11"/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（邮件标题为“姓名+毕业学校及专业+应聘职位”）</w:t>
      </w:r>
    </w:p>
    <w:p w14:paraId="3B0029D0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联系人：左老师    </w:t>
      </w:r>
    </w:p>
    <w:p w14:paraId="2E05E7E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联系电话：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021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/>
          <w:color w:val="000000"/>
          <w:kern w:val="0"/>
          <w:sz w:val="24"/>
          <w:szCs w:val="24"/>
        </w:rPr>
        <w:t>65901079</w:t>
      </w:r>
    </w:p>
    <w:p w14:paraId="7D336EDC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图片资料</w:t>
      </w:r>
    </w:p>
    <w:p w14:paraId="510C97BD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 w14:paraId="6C24576C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1）上海财经大学</w:t>
      </w:r>
    </w:p>
    <w:p w14:paraId="488CCDF1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10" name="图片 10" descr="C:\Users\Admin\AppData\Local\Temp\WeChat Files\6059dfe72f5b569d821596ad2df5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WeChat Files\6059dfe72f5b569d821596ad2df5e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B75E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 w14:paraId="4C27AB9F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7" name="图片 7" descr="C:\Users\Admin\AppData\Local\Temp\WeChat Files\7c3d31ec917ce79ac7fd9597f33c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AppData\Local\Temp\WeChat Files\7c3d31ec917ce79ac7fd9597f33c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EE62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统计与数据科学学院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楼</w:t>
      </w:r>
    </w:p>
    <w:p w14:paraId="22CC9C8A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12080" cy="3474720"/>
            <wp:effectExtent l="0" t="0" r="7620" b="11430"/>
            <wp:docPr id="1" name="图片 1" descr="86b99886bcb3d79dd6c1f2f2d95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b99886bcb3d79dd6c1f2f2d9553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C98C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72C7B717">
      <w:pPr>
        <w:widowControl/>
        <w:spacing w:line="360" w:lineRule="auto"/>
        <w:jc w:val="left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12080" cy="3474720"/>
            <wp:effectExtent l="0" t="0" r="7620" b="11430"/>
            <wp:docPr id="2" name="图片 2" descr="38c0317943e5d12fc6e84f40c90a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c0317943e5d12fc6e84f40c90ad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统计与数据科学学院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学院二维码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</w:rPr>
        <w:t>微信公众号：上海财经大学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统计与数据科学学院</w:t>
      </w:r>
    </w:p>
    <w:p w14:paraId="5EFF458C">
      <w:pPr>
        <w:widowControl/>
        <w:spacing w:line="360" w:lineRule="auto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微信号：sctongguan</w:t>
      </w:r>
    </w:p>
    <w:p w14:paraId="33507815">
      <w:pPr>
        <w:widowControl/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</w:p>
    <w:p w14:paraId="4DA92747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57450" cy="24574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5123532"/>
    </w:sdtPr>
    <w:sdtContent>
      <w:p w14:paraId="5B74AE5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0D8B64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83A06"/>
    <w:multiLevelType w:val="multilevel"/>
    <w:tmpl w:val="02E83A0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95F95"/>
    <w:multiLevelType w:val="multilevel"/>
    <w:tmpl w:val="4F495F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92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72790A"/>
    <w:multiLevelType w:val="multilevel"/>
    <w:tmpl w:val="6272790A"/>
    <w:lvl w:ilvl="0" w:tentative="0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9193EFB"/>
    <w:multiLevelType w:val="multilevel"/>
    <w:tmpl w:val="69193EF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15"/>
    <w:rsid w:val="00015DAF"/>
    <w:rsid w:val="0001668C"/>
    <w:rsid w:val="000346EF"/>
    <w:rsid w:val="0005254D"/>
    <w:rsid w:val="00074526"/>
    <w:rsid w:val="000765B0"/>
    <w:rsid w:val="00082BDE"/>
    <w:rsid w:val="00092931"/>
    <w:rsid w:val="00096FD6"/>
    <w:rsid w:val="000A360B"/>
    <w:rsid w:val="000A3CC5"/>
    <w:rsid w:val="000B34C3"/>
    <w:rsid w:val="000B358F"/>
    <w:rsid w:val="000B546A"/>
    <w:rsid w:val="001000EA"/>
    <w:rsid w:val="00111A80"/>
    <w:rsid w:val="00117E9F"/>
    <w:rsid w:val="001238A9"/>
    <w:rsid w:val="0012636F"/>
    <w:rsid w:val="00126B7A"/>
    <w:rsid w:val="00147D19"/>
    <w:rsid w:val="001610C3"/>
    <w:rsid w:val="00181858"/>
    <w:rsid w:val="001D765F"/>
    <w:rsid w:val="00220E70"/>
    <w:rsid w:val="00230134"/>
    <w:rsid w:val="00232465"/>
    <w:rsid w:val="002330A0"/>
    <w:rsid w:val="002568A1"/>
    <w:rsid w:val="00261F8B"/>
    <w:rsid w:val="00267DF4"/>
    <w:rsid w:val="002970DD"/>
    <w:rsid w:val="002A2583"/>
    <w:rsid w:val="002B40B8"/>
    <w:rsid w:val="002C14C5"/>
    <w:rsid w:val="002F2C33"/>
    <w:rsid w:val="00373FBA"/>
    <w:rsid w:val="003749D2"/>
    <w:rsid w:val="0037788A"/>
    <w:rsid w:val="00391389"/>
    <w:rsid w:val="00395331"/>
    <w:rsid w:val="003A2D23"/>
    <w:rsid w:val="003C4F9C"/>
    <w:rsid w:val="003E1424"/>
    <w:rsid w:val="003E482E"/>
    <w:rsid w:val="00402A76"/>
    <w:rsid w:val="00402A84"/>
    <w:rsid w:val="004215E7"/>
    <w:rsid w:val="00434C3B"/>
    <w:rsid w:val="00435C6E"/>
    <w:rsid w:val="00437520"/>
    <w:rsid w:val="004431FD"/>
    <w:rsid w:val="00445BFB"/>
    <w:rsid w:val="0044721A"/>
    <w:rsid w:val="0045408D"/>
    <w:rsid w:val="00455EC1"/>
    <w:rsid w:val="0045708E"/>
    <w:rsid w:val="00463132"/>
    <w:rsid w:val="004662E2"/>
    <w:rsid w:val="004A3097"/>
    <w:rsid w:val="004A37DC"/>
    <w:rsid w:val="004A5BFE"/>
    <w:rsid w:val="004B0BD7"/>
    <w:rsid w:val="004B14D3"/>
    <w:rsid w:val="004B6229"/>
    <w:rsid w:val="004C2B71"/>
    <w:rsid w:val="004D286A"/>
    <w:rsid w:val="004E06D1"/>
    <w:rsid w:val="00541C87"/>
    <w:rsid w:val="00542B4F"/>
    <w:rsid w:val="005704EE"/>
    <w:rsid w:val="00574856"/>
    <w:rsid w:val="00581C5D"/>
    <w:rsid w:val="00590E73"/>
    <w:rsid w:val="005A3BB9"/>
    <w:rsid w:val="005B7697"/>
    <w:rsid w:val="005C51B7"/>
    <w:rsid w:val="005D20C8"/>
    <w:rsid w:val="005F6E26"/>
    <w:rsid w:val="00605E97"/>
    <w:rsid w:val="00607AAD"/>
    <w:rsid w:val="006116F0"/>
    <w:rsid w:val="006231D2"/>
    <w:rsid w:val="006302BF"/>
    <w:rsid w:val="006678D8"/>
    <w:rsid w:val="00671558"/>
    <w:rsid w:val="00695850"/>
    <w:rsid w:val="006A4293"/>
    <w:rsid w:val="006A5C77"/>
    <w:rsid w:val="006C1F95"/>
    <w:rsid w:val="006C5862"/>
    <w:rsid w:val="006F40AD"/>
    <w:rsid w:val="006F57C1"/>
    <w:rsid w:val="006F7A60"/>
    <w:rsid w:val="007376CB"/>
    <w:rsid w:val="00737A3A"/>
    <w:rsid w:val="00750849"/>
    <w:rsid w:val="00750E9B"/>
    <w:rsid w:val="00757A74"/>
    <w:rsid w:val="007768B0"/>
    <w:rsid w:val="0080071D"/>
    <w:rsid w:val="0080097F"/>
    <w:rsid w:val="00800F4D"/>
    <w:rsid w:val="00807162"/>
    <w:rsid w:val="008220A1"/>
    <w:rsid w:val="00875529"/>
    <w:rsid w:val="00891092"/>
    <w:rsid w:val="008A4089"/>
    <w:rsid w:val="008A76F0"/>
    <w:rsid w:val="008B2935"/>
    <w:rsid w:val="008B37F3"/>
    <w:rsid w:val="008C0F8C"/>
    <w:rsid w:val="008F19B9"/>
    <w:rsid w:val="00910196"/>
    <w:rsid w:val="00912737"/>
    <w:rsid w:val="00920CC5"/>
    <w:rsid w:val="00943A17"/>
    <w:rsid w:val="009542AC"/>
    <w:rsid w:val="00982962"/>
    <w:rsid w:val="00982B9E"/>
    <w:rsid w:val="009D1697"/>
    <w:rsid w:val="009D4315"/>
    <w:rsid w:val="009E15FF"/>
    <w:rsid w:val="009E28DD"/>
    <w:rsid w:val="009F3812"/>
    <w:rsid w:val="00A00F0C"/>
    <w:rsid w:val="00A25DF4"/>
    <w:rsid w:val="00A42C8D"/>
    <w:rsid w:val="00A42D8B"/>
    <w:rsid w:val="00A51FCD"/>
    <w:rsid w:val="00A63153"/>
    <w:rsid w:val="00A63732"/>
    <w:rsid w:val="00A70373"/>
    <w:rsid w:val="00A71312"/>
    <w:rsid w:val="00AA028F"/>
    <w:rsid w:val="00AB6CCF"/>
    <w:rsid w:val="00AC4476"/>
    <w:rsid w:val="00AD7482"/>
    <w:rsid w:val="00AF464E"/>
    <w:rsid w:val="00B02214"/>
    <w:rsid w:val="00B16470"/>
    <w:rsid w:val="00B203D3"/>
    <w:rsid w:val="00B35E91"/>
    <w:rsid w:val="00B37A8A"/>
    <w:rsid w:val="00B51FCF"/>
    <w:rsid w:val="00BB5F18"/>
    <w:rsid w:val="00BC7BB2"/>
    <w:rsid w:val="00BE58FC"/>
    <w:rsid w:val="00C044AF"/>
    <w:rsid w:val="00C170E5"/>
    <w:rsid w:val="00C2034C"/>
    <w:rsid w:val="00C3685A"/>
    <w:rsid w:val="00C91843"/>
    <w:rsid w:val="00CA4376"/>
    <w:rsid w:val="00CD5044"/>
    <w:rsid w:val="00CE1AAD"/>
    <w:rsid w:val="00CE4213"/>
    <w:rsid w:val="00CE5445"/>
    <w:rsid w:val="00CF45F5"/>
    <w:rsid w:val="00D04394"/>
    <w:rsid w:val="00D13452"/>
    <w:rsid w:val="00D13657"/>
    <w:rsid w:val="00D27734"/>
    <w:rsid w:val="00D35170"/>
    <w:rsid w:val="00D36F8A"/>
    <w:rsid w:val="00D51276"/>
    <w:rsid w:val="00D54763"/>
    <w:rsid w:val="00D657AB"/>
    <w:rsid w:val="00D75537"/>
    <w:rsid w:val="00DA62AC"/>
    <w:rsid w:val="00E12CB5"/>
    <w:rsid w:val="00E35EA8"/>
    <w:rsid w:val="00E41252"/>
    <w:rsid w:val="00E62BDF"/>
    <w:rsid w:val="00E6549B"/>
    <w:rsid w:val="00E66B5E"/>
    <w:rsid w:val="00E72A83"/>
    <w:rsid w:val="00E91212"/>
    <w:rsid w:val="00EC0A52"/>
    <w:rsid w:val="00EF7495"/>
    <w:rsid w:val="00F04E85"/>
    <w:rsid w:val="00F12892"/>
    <w:rsid w:val="00F221E5"/>
    <w:rsid w:val="00F24336"/>
    <w:rsid w:val="00F56B34"/>
    <w:rsid w:val="00F57DA0"/>
    <w:rsid w:val="00F61087"/>
    <w:rsid w:val="00F676EB"/>
    <w:rsid w:val="00F80E32"/>
    <w:rsid w:val="00F86752"/>
    <w:rsid w:val="00FA02F7"/>
    <w:rsid w:val="00FA47EE"/>
    <w:rsid w:val="00FB7D7F"/>
    <w:rsid w:val="74DA0D0B"/>
    <w:rsid w:val="752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副标题 字符"/>
    <w:basedOn w:val="10"/>
    <w:link w:val="5"/>
    <w:qFormat/>
    <w:uiPriority w:val="11"/>
    <w:rPr>
      <w:b/>
      <w:bCs/>
      <w:kern w:val="28"/>
      <w:sz w:val="32"/>
      <w:szCs w:val="32"/>
    </w:rPr>
  </w:style>
  <w:style w:type="table" w:customStyle="1" w:styleId="14">
    <w:name w:val="网格型2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10"/>
    <w:link w:val="2"/>
    <w:qFormat/>
    <w:uiPriority w:val="99"/>
    <w:rPr>
      <w:sz w:val="18"/>
      <w:szCs w:val="18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脚注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0"/>
    <w:link w:val="3"/>
    <w:qFormat/>
    <w:uiPriority w:val="99"/>
    <w:rPr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1302</Words>
  <Characters>1410</Characters>
  <Lines>10</Lines>
  <Paragraphs>2</Paragraphs>
  <TotalTime>20</TotalTime>
  <ScaleCrop>false</ScaleCrop>
  <LinksUpToDate>false</LinksUpToDate>
  <CharactersWithSpaces>1416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2023-06-27T07:48:00Z</dcterms:created>
  <dc:creator>xizihu</dc:creator>
  <cp:lastModifiedBy>左楠</cp:lastModifiedBy>
  <dcterms:modified xsi:type="dcterms:W3CDTF">2025-05-15T09:10:38Z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eyJoZGlkIjoiZmZmYzQzMDY5NTY3MDljYjc2ZTUyNzQzMzQ4MGNlZDAiLCJ1c2VySWQiOiIxNjAxNjk5MjU2In0=</vt:lpwstr>
  </property>
  <property fmtid="{D5CDD505-2E9C-101B-9397-08002B2CF9AE}" pid="3" name="KSOProductBuildVer">
    <vt:lpwstr>2052-12.1.0.19302</vt:lpwstr>
  </property>
  <property fmtid="{D5CDD505-2E9C-101B-9397-08002B2CF9AE}" pid="4" name="ICV">
    <vt:lpwstr>3873CEB70F37489E90E453DC0581CCB1_13</vt:lpwstr>
  </property>
</Properties>
</file>