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3FB4B">
      <w:pPr>
        <w:spacing w:line="312" w:lineRule="auto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16AEF946">
      <w:pPr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伦理审查申请指南</w:t>
      </w:r>
    </w:p>
    <w:p w14:paraId="7839744F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CD5FF2E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为指导研究者/申办者、课题负责人提交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生命科学与医学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研究项目的伦理审查申请/报告，特制定本指南。</w:t>
      </w:r>
    </w:p>
    <w:p w14:paraId="0ED1D499">
      <w:pPr>
        <w:spacing w:line="312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一、提交伦理审查的研究项目范围</w:t>
      </w:r>
    </w:p>
    <w:p w14:paraId="2B05836B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根据《药物临床试验质量管理规范》(2020年)、《药物临床试验伦理审查工作指导原则》《涉及人的生命科学和医学研究伦理审查办法》（2023版），药物临床研究、医疗器械临床研究及涉及人的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生命科学与医学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目应依据本指南提交伦理审查报告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4CAAC93E">
      <w:pPr>
        <w:spacing w:line="312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二、伦理审查申请／报告的类别</w:t>
      </w:r>
    </w:p>
    <w:p w14:paraId="5872BE82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（一）初始审查</w:t>
      </w:r>
    </w:p>
    <w:p w14:paraId="4E2E47AD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初始审查申请：符合上述范围的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项目，应在研究开始前提交伦理审查申请，经批准后方可实施。“初始审查申请”是指首次向伦理审查委员会提交的审查申请。</w:t>
      </w:r>
    </w:p>
    <w:p w14:paraId="4C4B96E5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（二）跟踪审查</w:t>
      </w:r>
    </w:p>
    <w:p w14:paraId="36F6E9B1">
      <w:pPr>
        <w:spacing w:line="312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根据申请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的具体情况，开展跟踪审查。</w:t>
      </w:r>
    </w:p>
    <w:p w14:paraId="3C5E7CD6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1.修正案审查：研究过程中若变更主要研究者，对临床研究方案、知情同意书、招募材料等的任何修改，应向委员会提交修正案审查申请，经批准后执行。为避免研究对研究参与者的即刻危险，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紧急情况下，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研究者可在委员会批准前修改研究方案，事后应将修改研究方案的情况及原因，以“修正案审查申请”的方式及时提交委员会审查。</w:t>
      </w:r>
    </w:p>
    <w:p w14:paraId="19DA1EEE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2.研究进展报告：按照伦理审查批件/意见规定的定期跟踪审查频率，在截止日期前1个月提交研究进展报告；当出现任何可能显著影响研究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或增加研究参与者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险的情况时，应以“研究进展报告”的方式，及时报委员会审查。如果伦理审查批件有效期到期，而项目没有启动，需重新提交伦理申请并获得批准后方可实施。</w:t>
      </w:r>
    </w:p>
    <w:p w14:paraId="1E2BF20D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3.严重不良事件报告：严重不良事件是指临床研究过程中发生需住院治疗、延长住院时间、伤残、影响工作能力、危及生命或死亡、导致先天畸形等事件。发生严重不良事件，研究者应在获知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相关信息后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24小时内向委员会报告。</w:t>
      </w:r>
    </w:p>
    <w:p w14:paraId="088A4AEE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4.违背方案报告：需要报告的违背方案情况包括：</w:t>
      </w:r>
    </w:p>
    <w:p w14:paraId="488FC966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严重违背：研究纳入了不符合纳入标准或符合排除标准的研究参与者，符合中止试验规定而未让研究参与者退出研究，给予错误治疗或剂量，给予方案禁止的合并用药等没有遵从方案开展研究的情况；或可能对研究参与者的权益／健康以及研究的科学性造成显著影响等违背GCP原则的情况。</w:t>
      </w:r>
    </w:p>
    <w:p w14:paraId="1C490D95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（2）持续违背，同一类型违背多次发生。</w:t>
      </w:r>
    </w:p>
    <w:p w14:paraId="3E982608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凡是发生上述研究者违背GCP原则、没有遵从方案开展研究，可能对研究参与者的权益，健康以及研究的科学性造成显著影响的情况，应提交违背方案报告。为避免研究对研究参与者的即刻危险，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紧急情况下，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研究者可在委员会批准前偏离研究方案，事后应以“违背方案报告”的方式，向委员会报告任何偏离已批准方案之处并作解释。</w:t>
      </w:r>
    </w:p>
    <w:p w14:paraId="2A0C874A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5.暂停／终止研究报告：研究者／申办者暂停或提前终止临床研究，应及时向委员提交暂停或提前终止研究报告。</w:t>
      </w:r>
    </w:p>
    <w:p w14:paraId="01AA3F87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6.结题报告：完成临床研究，应及时向委员会提交结题报告。</w:t>
      </w:r>
    </w:p>
    <w:p w14:paraId="1247B1A2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（三）复审</w:t>
      </w:r>
    </w:p>
    <w:p w14:paraId="441E1BCE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初始审查和跟踪审查后，如果伦理审查意见是“作必要的修正后同意”或“作必要的修正后重审”，研究者应按意见修改后再次送审，经伦委员会批准后方可实施。</w:t>
      </w:r>
    </w:p>
    <w:p w14:paraId="21D0B159">
      <w:pPr>
        <w:spacing w:line="312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三、提交伦理审查的流程</w:t>
      </w:r>
    </w:p>
    <w:p w14:paraId="4DB77F64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（一）提交送审文件</w:t>
      </w:r>
    </w:p>
    <w:p w14:paraId="16B9F10C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1.研究者准备送审文件：根据送审文件清单，准备送审文件；方案和知情同意书注明版本号和版本日期。</w:t>
      </w:r>
    </w:p>
    <w:p w14:paraId="76A41635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填写申请／报告的表格：根据伦理审查申请／报告的类别，填写相应的“申请”(初始审查申请，修正案审查申请，复审申请)，或“报告”(年度／定期跟踪审查报告，严重不良事件报告，违背方案报告，暂停／终止研究报告，结题报告)。</w:t>
      </w:r>
    </w:p>
    <w:p w14:paraId="2B81C8A6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3.提交：首先提交1套送审文件，通过形式审查后，准备书面送审材料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份，以及方案/知情同意书临床研究材料等电子文件(PDF格式)，送至委员会办公室；首次提交伦理审查申请的研究者，还需提交资质证明文件复印件，GCP培训证书复印件。</w:t>
      </w:r>
    </w:p>
    <w:p w14:paraId="1C439CF2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（二）领取通知</w:t>
      </w:r>
    </w:p>
    <w:p w14:paraId="52603CAC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1.受理通知：秘书作形式审查，对通过形式审查的项目发送受理通知，并提前7天告知预定审查日期。</w:t>
      </w:r>
    </w:p>
    <w:p w14:paraId="254C0198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2.补充／修改送审材料通知：对形式审查没有通过的项目，秘书发送补充／修改送审材料通知，告知缺项文件，以及最近审查会议前的送审截止日期。</w:t>
      </w:r>
    </w:p>
    <w:p w14:paraId="5ED2F884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（三）接受审查的准备</w:t>
      </w:r>
    </w:p>
    <w:p w14:paraId="1540B27E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1.会议时间，地点：秘书电话通知。</w:t>
      </w:r>
    </w:p>
    <w:p w14:paraId="21F7F267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2.准备向会议报告：按照通知，需要到会报告者，准备报告内容，提前15分钟到达会场。</w:t>
      </w:r>
    </w:p>
    <w:p w14:paraId="6EC30811">
      <w:pPr>
        <w:spacing w:line="312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四、伦理审查的时间</w:t>
      </w:r>
    </w:p>
    <w:p w14:paraId="4645F7C5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委员会收到项目申请后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30个工作日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内召开审查会议。委员会办公室受理送审文件后，需要5个工作日进行处理，在会议前一周截止审查受理。</w:t>
      </w:r>
    </w:p>
    <w:p w14:paraId="128AD5E1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研究过程中出现重大或严重问题，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危及研究参与者安全时，或发生其它需要委员会召开会议进行紧急审查和决定的情况，委员会将召开紧急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会议。</w:t>
      </w:r>
    </w:p>
    <w:p w14:paraId="259EED49">
      <w:pPr>
        <w:spacing w:line="312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五、审查决定的传达</w:t>
      </w:r>
    </w:p>
    <w:p w14:paraId="0BB89C42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委员会在做出伦理审查决定后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个工作日内，以“伦理审查批件”或“伦理审查意见”的书面方式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向申请者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传达审查决定。</w:t>
      </w:r>
    </w:p>
    <w:p w14:paraId="76D10D9E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六、伦理审查的费用</w:t>
      </w:r>
    </w:p>
    <w:p w14:paraId="0652D855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以自愿申请为原则。初始审查及复审分为会议审查、紧急审查及简易审查等不同类型，各类型对应相应的收费标准。双方签署协议，具体可咨询工作人员。</w:t>
      </w:r>
    </w:p>
    <w:p w14:paraId="7729E7E9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联系人：李冰，联系电话：020-81858309</w:t>
      </w:r>
      <w:bookmarkStart w:id="0" w:name="_GoBack"/>
      <w:bookmarkEnd w:id="0"/>
    </w:p>
    <w:p w14:paraId="4757DF68">
      <w:pPr>
        <w:spacing w:line="312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2EF6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E03C57-A8DC-499C-AAD1-8436A7B7D9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906D9A-6BB3-4275-A76D-6DBCDC327D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E1D34E-3F25-4101-9A9F-0AF5EA4323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461DDB-E812-44D2-A513-F363F21C66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07F475A"/>
    <w:rsid w:val="0AE87368"/>
    <w:rsid w:val="11384A7F"/>
    <w:rsid w:val="26E31F8B"/>
    <w:rsid w:val="274524F9"/>
    <w:rsid w:val="29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1934</Words>
  <Characters>1980</Characters>
  <Lines>0</Lines>
  <Paragraphs>0</Paragraphs>
  <TotalTime>3</TotalTime>
  <ScaleCrop>false</ScaleCrop>
  <LinksUpToDate>false</LinksUpToDate>
  <CharactersWithSpaces>1980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2024-11-12T07:08:00Z</dcterms:created>
  <dc:creator>lib</dc:creator>
  <cp:lastModifiedBy>套马的汉子</cp:lastModifiedBy>
  <dcterms:modified xsi:type="dcterms:W3CDTF">2024-11-20T08:33:19Z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7FD75ED426C348449366254D5D96A05B_12</vt:lpwstr>
  </property>
</Properties>
</file>