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74B83">
      <w:pPr>
        <w:widowControl/>
        <w:kinsoku w:val="0"/>
        <w:autoSpaceDE w:val="0"/>
        <w:autoSpaceDN w:val="0"/>
        <w:adjustRightInd w:val="0"/>
        <w:snapToGrid w:val="0"/>
        <w:spacing w:before="160"/>
        <w:jc w:val="left"/>
        <w:textAlignment w:val="baseline"/>
        <w:rPr>
          <w:rFonts w:hint="eastAsia" w:ascii="黑体" w:hAnsi="黑体" w:eastAsia="黑体" w:cs="黑体"/>
          <w:snapToGrid w:val="0"/>
          <w:color w:val="000000"/>
          <w:spacing w:val="-4"/>
          <w:kern w:val="0"/>
          <w:sz w:val="32"/>
          <w:szCs w:val="32"/>
        </w:rPr>
      </w:pPr>
    </w:p>
    <w:p w14:paraId="62A14260">
      <w:pPr>
        <w:widowControl/>
        <w:kinsoku w:val="0"/>
        <w:autoSpaceDE w:val="0"/>
        <w:autoSpaceDN w:val="0"/>
        <w:adjustRightInd w:val="0"/>
        <w:snapToGrid w:val="0"/>
        <w:spacing w:before="160"/>
        <w:ind w:left="45"/>
        <w:jc w:val="left"/>
        <w:textAlignment w:val="baseline"/>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附件：</w:t>
      </w:r>
    </w:p>
    <w:p w14:paraId="5FEF94D5">
      <w:pPr>
        <w:widowControl/>
        <w:kinsoku w:val="0"/>
        <w:autoSpaceDE w:val="0"/>
        <w:autoSpaceDN w:val="0"/>
        <w:adjustRightInd w:val="0"/>
        <w:snapToGrid w:val="0"/>
        <w:spacing w:before="160"/>
        <w:ind w:left="45"/>
        <w:jc w:val="center"/>
        <w:textAlignment w:val="baseline"/>
        <w:rPr>
          <w:rFonts w:ascii="方正小标宋简体" w:hAnsi="方正小标宋简体" w:eastAsia="方正小标宋简体" w:cs="黑体"/>
          <w:snapToGrid w:val="0"/>
          <w:color w:val="000000"/>
          <w:spacing w:val="-4"/>
          <w:kern w:val="0"/>
          <w:sz w:val="36"/>
          <w:szCs w:val="32"/>
        </w:rPr>
      </w:pPr>
      <w:r>
        <w:rPr>
          <w:rFonts w:hint="eastAsia" w:ascii="方正小标宋简体" w:hAnsi="方正小标宋简体" w:eastAsia="方正小标宋简体" w:cs="黑体"/>
          <w:snapToGrid w:val="0"/>
          <w:color w:val="000000"/>
          <w:spacing w:val="-4"/>
          <w:kern w:val="0"/>
          <w:sz w:val="36"/>
          <w:szCs w:val="32"/>
        </w:rPr>
        <w:t>征文格式要求</w:t>
      </w:r>
    </w:p>
    <w:p w14:paraId="04DEC17E">
      <w:pPr>
        <w:pStyle w:val="18"/>
        <w:spacing w:before="0" w:beforeAutospacing="0" w:after="0" w:afterAutospacing="0"/>
        <w:ind w:firstLine="643" w:firstLineChars="200"/>
        <w:rPr>
          <w:rFonts w:ascii="仿宋" w:hAnsi="仿宋" w:eastAsia="仿宋" w:cs="Times New Roman"/>
          <w:sz w:val="32"/>
          <w:szCs w:val="32"/>
        </w:rPr>
      </w:pPr>
      <w:r>
        <w:rPr>
          <w:rFonts w:ascii="仿宋" w:hAnsi="仿宋" w:eastAsia="仿宋"/>
          <w:b/>
          <w:sz w:val="32"/>
          <w:szCs w:val="32"/>
        </w:rPr>
        <w:t>1</w:t>
      </w:r>
      <w:r>
        <w:rPr>
          <w:rFonts w:hint="eastAsia" w:ascii="仿宋" w:hAnsi="仿宋" w:eastAsia="仿宋"/>
          <w:b/>
          <w:sz w:val="32"/>
          <w:szCs w:val="32"/>
        </w:rPr>
        <w:t>.题目：</w:t>
      </w:r>
      <w:r>
        <w:rPr>
          <w:rFonts w:hint="eastAsia" w:ascii="仿宋" w:hAnsi="仿宋" w:eastAsia="仿宋"/>
          <w:sz w:val="32"/>
          <w:szCs w:val="32"/>
        </w:rPr>
        <w:t>三号黑体字，顶行，居中，单倍行距，最多</w:t>
      </w:r>
      <w:r>
        <w:rPr>
          <w:rFonts w:ascii="仿宋" w:hAnsi="仿宋" w:eastAsia="仿宋"/>
          <w:sz w:val="32"/>
          <w:szCs w:val="32"/>
        </w:rPr>
        <w:t>2</w:t>
      </w:r>
      <w:r>
        <w:rPr>
          <w:rFonts w:hint="eastAsia" w:ascii="仿宋" w:hAnsi="仿宋" w:eastAsia="仿宋"/>
          <w:sz w:val="32"/>
          <w:szCs w:val="32"/>
        </w:rPr>
        <w:t>行。</w:t>
      </w:r>
    </w:p>
    <w:p w14:paraId="49AD0C9A">
      <w:pPr>
        <w:pStyle w:val="18"/>
        <w:spacing w:before="0" w:beforeAutospacing="0" w:after="0" w:afterAutospacing="0"/>
        <w:ind w:firstLine="643" w:firstLineChars="200"/>
        <w:rPr>
          <w:rFonts w:ascii="仿宋" w:hAnsi="仿宋" w:eastAsia="仿宋" w:cs="Times New Roman"/>
          <w:sz w:val="32"/>
          <w:szCs w:val="32"/>
        </w:rPr>
      </w:pPr>
      <w:r>
        <w:rPr>
          <w:rFonts w:ascii="仿宋" w:hAnsi="仿宋" w:eastAsia="仿宋"/>
          <w:b/>
          <w:sz w:val="32"/>
          <w:szCs w:val="32"/>
        </w:rPr>
        <w:t>2</w:t>
      </w:r>
      <w:r>
        <w:rPr>
          <w:rFonts w:hint="eastAsia" w:ascii="仿宋" w:hAnsi="仿宋" w:eastAsia="仿宋"/>
          <w:b/>
          <w:sz w:val="32"/>
          <w:szCs w:val="32"/>
        </w:rPr>
        <w:t>.作者：</w:t>
      </w:r>
      <w:r>
        <w:rPr>
          <w:rFonts w:hint="eastAsia" w:ascii="仿宋" w:hAnsi="仿宋" w:eastAsia="仿宋"/>
          <w:sz w:val="32"/>
          <w:szCs w:val="32"/>
        </w:rPr>
        <w:t>四号黑体字，居中，单倍行距；作者次序按对论文研究成果的贡献大小依次排列。</w:t>
      </w:r>
    </w:p>
    <w:p w14:paraId="79B4B202">
      <w:pPr>
        <w:pStyle w:val="18"/>
        <w:spacing w:before="0" w:beforeAutospacing="0" w:after="0" w:afterAutospacing="0"/>
        <w:ind w:firstLine="643" w:firstLineChars="200"/>
        <w:rPr>
          <w:rFonts w:ascii="仿宋" w:hAnsi="仿宋" w:eastAsia="仿宋" w:cs="Times New Roman"/>
          <w:sz w:val="32"/>
          <w:szCs w:val="32"/>
        </w:rPr>
      </w:pPr>
      <w:r>
        <w:rPr>
          <w:rFonts w:ascii="仿宋" w:hAnsi="仿宋" w:eastAsia="仿宋"/>
          <w:b/>
          <w:sz w:val="32"/>
          <w:szCs w:val="32"/>
        </w:rPr>
        <w:t>3</w:t>
      </w:r>
      <w:r>
        <w:rPr>
          <w:rFonts w:hint="eastAsia" w:ascii="仿宋" w:hAnsi="仿宋" w:eastAsia="仿宋"/>
          <w:b/>
          <w:sz w:val="32"/>
          <w:szCs w:val="32"/>
        </w:rPr>
        <w:t>.作者工作单位及联系方式：</w:t>
      </w:r>
      <w:r>
        <w:rPr>
          <w:rFonts w:hint="eastAsia" w:ascii="仿宋" w:hAnsi="仿宋" w:eastAsia="仿宋"/>
          <w:sz w:val="32"/>
          <w:szCs w:val="32"/>
        </w:rPr>
        <w:t>小四号黑体字，居中，单倍行距。不同作者的工作单位可按顺序依次列出，不必分行，并附第一作者的联系方式。</w:t>
      </w:r>
    </w:p>
    <w:p w14:paraId="1F2051D1">
      <w:pPr>
        <w:pStyle w:val="18"/>
        <w:spacing w:before="0" w:beforeAutospacing="0" w:after="0" w:afterAutospacing="0"/>
        <w:ind w:firstLine="643" w:firstLineChars="200"/>
        <w:rPr>
          <w:rFonts w:ascii="仿宋" w:hAnsi="仿宋" w:eastAsia="仿宋" w:cs="Times New Roman"/>
          <w:sz w:val="32"/>
          <w:szCs w:val="32"/>
        </w:rPr>
      </w:pPr>
      <w:r>
        <w:rPr>
          <w:rFonts w:ascii="仿宋" w:hAnsi="仿宋" w:eastAsia="仿宋"/>
          <w:b/>
          <w:sz w:val="32"/>
          <w:szCs w:val="32"/>
        </w:rPr>
        <w:t>4</w:t>
      </w:r>
      <w:r>
        <w:rPr>
          <w:rFonts w:hint="eastAsia" w:ascii="仿宋" w:hAnsi="仿宋" w:eastAsia="仿宋"/>
          <w:b/>
          <w:sz w:val="32"/>
          <w:szCs w:val="32"/>
        </w:rPr>
        <w:t>.论文正文：</w:t>
      </w:r>
      <w:r>
        <w:rPr>
          <w:rFonts w:hint="eastAsia" w:ascii="仿宋" w:hAnsi="仿宋" w:eastAsia="仿宋"/>
          <w:sz w:val="32"/>
          <w:szCs w:val="32"/>
        </w:rPr>
        <w:t>五号宋体字，行距</w:t>
      </w:r>
      <w:r>
        <w:rPr>
          <w:rFonts w:ascii="仿宋" w:hAnsi="仿宋" w:eastAsia="仿宋"/>
          <w:sz w:val="32"/>
          <w:szCs w:val="32"/>
        </w:rPr>
        <w:t>1.5</w:t>
      </w:r>
      <w:r>
        <w:rPr>
          <w:rFonts w:hint="eastAsia" w:ascii="仿宋" w:hAnsi="仿宋" w:eastAsia="仿宋"/>
          <w:sz w:val="32"/>
          <w:szCs w:val="32"/>
        </w:rPr>
        <w:t>倍。结构为：目的，方法，结果，讨论或结论。每个小标题加粗。分部分叙述，各部分间不必空行。</w:t>
      </w:r>
    </w:p>
    <w:p w14:paraId="732D5F66">
      <w:pPr>
        <w:pStyle w:val="18"/>
        <w:spacing w:before="0" w:beforeAutospacing="0" w:after="0" w:afterAutospacing="0"/>
        <w:ind w:firstLine="643" w:firstLineChars="200"/>
        <w:rPr>
          <w:rFonts w:hint="eastAsia" w:ascii="仿宋" w:hAnsi="仿宋" w:eastAsia="仿宋"/>
          <w:sz w:val="32"/>
          <w:szCs w:val="32"/>
          <w:lang w:eastAsia="zh-CN"/>
        </w:rPr>
      </w:pPr>
      <w:r>
        <w:rPr>
          <w:rFonts w:ascii="仿宋" w:hAnsi="仿宋" w:eastAsia="仿宋"/>
          <w:b/>
          <w:sz w:val="32"/>
          <w:szCs w:val="32"/>
        </w:rPr>
        <w:t>5</w:t>
      </w:r>
      <w:r>
        <w:rPr>
          <w:rFonts w:hint="eastAsia" w:ascii="仿宋" w:hAnsi="仿宋" w:eastAsia="仿宋"/>
          <w:b/>
          <w:sz w:val="32"/>
          <w:szCs w:val="32"/>
        </w:rPr>
        <w:t>.研究目的：</w:t>
      </w:r>
      <w:r>
        <w:rPr>
          <w:rFonts w:hint="eastAsia" w:ascii="仿宋" w:hAnsi="仿宋" w:eastAsia="仿宋"/>
          <w:sz w:val="32"/>
          <w:szCs w:val="32"/>
        </w:rPr>
        <w:t>有关研究项目的简介</w:t>
      </w:r>
      <w:r>
        <w:rPr>
          <w:rFonts w:hint="eastAsia" w:ascii="仿宋" w:hAnsi="仿宋" w:eastAsia="仿宋"/>
          <w:sz w:val="32"/>
          <w:szCs w:val="32"/>
          <w:lang w:eastAsia="zh-CN"/>
        </w:rPr>
        <w:t>。</w:t>
      </w:r>
    </w:p>
    <w:p w14:paraId="2AD76215">
      <w:pPr>
        <w:pStyle w:val="18"/>
        <w:spacing w:before="0" w:beforeAutospacing="0" w:after="0" w:afterAutospacing="0"/>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6.</w:t>
      </w:r>
      <w:r>
        <w:rPr>
          <w:rFonts w:hint="eastAsia" w:ascii="仿宋" w:hAnsi="仿宋" w:eastAsia="仿宋"/>
          <w:b/>
          <w:sz w:val="32"/>
          <w:szCs w:val="32"/>
        </w:rPr>
        <w:t>研究方法：</w:t>
      </w:r>
      <w:r>
        <w:rPr>
          <w:rFonts w:hint="eastAsia" w:ascii="仿宋" w:hAnsi="仿宋" w:eastAsia="仿宋"/>
          <w:sz w:val="32"/>
          <w:szCs w:val="32"/>
        </w:rPr>
        <w:t>描述项目的研究对象与方法</w:t>
      </w:r>
      <w:r>
        <w:rPr>
          <w:rFonts w:hint="eastAsia" w:ascii="仿宋" w:hAnsi="仿宋" w:eastAsia="仿宋"/>
          <w:sz w:val="32"/>
          <w:szCs w:val="32"/>
          <w:lang w:eastAsia="zh-CN"/>
        </w:rPr>
        <w:t>。</w:t>
      </w:r>
    </w:p>
    <w:p w14:paraId="07F5A070">
      <w:pPr>
        <w:pStyle w:val="18"/>
        <w:spacing w:before="0" w:beforeAutospacing="0" w:after="0" w:afterAutospacing="0"/>
        <w:ind w:firstLine="643" w:firstLineChars="200"/>
        <w:rPr>
          <w:rFonts w:hint="eastAsia" w:ascii="仿宋" w:hAnsi="仿宋" w:eastAsia="仿宋"/>
          <w:sz w:val="32"/>
          <w:szCs w:val="32"/>
          <w:lang w:eastAsia="zh-CN"/>
        </w:rPr>
      </w:pPr>
      <w:r>
        <w:rPr>
          <w:rFonts w:hint="eastAsia" w:ascii="仿宋" w:hAnsi="仿宋" w:eastAsia="仿宋"/>
          <w:b/>
          <w:sz w:val="32"/>
          <w:szCs w:val="32"/>
          <w:lang w:val="en-US" w:eastAsia="zh-CN"/>
        </w:rPr>
        <w:t>7.</w:t>
      </w:r>
      <w:r>
        <w:rPr>
          <w:rFonts w:hint="eastAsia" w:ascii="仿宋" w:hAnsi="仿宋" w:eastAsia="仿宋"/>
          <w:b/>
          <w:sz w:val="32"/>
          <w:szCs w:val="32"/>
        </w:rPr>
        <w:t>研究结果：</w:t>
      </w:r>
      <w:r>
        <w:rPr>
          <w:rFonts w:hint="eastAsia" w:ascii="仿宋" w:hAnsi="仿宋" w:eastAsia="仿宋"/>
          <w:sz w:val="32"/>
          <w:szCs w:val="32"/>
        </w:rPr>
        <w:t>通过相关数据展示项目的突出研究结果</w:t>
      </w:r>
      <w:r>
        <w:rPr>
          <w:rFonts w:hint="eastAsia" w:ascii="仿宋" w:hAnsi="仿宋" w:eastAsia="仿宋"/>
          <w:sz w:val="32"/>
          <w:szCs w:val="32"/>
          <w:lang w:eastAsia="zh-CN"/>
        </w:rPr>
        <w:t>。</w:t>
      </w:r>
    </w:p>
    <w:p w14:paraId="03A25BDC">
      <w:pPr>
        <w:pStyle w:val="18"/>
        <w:spacing w:before="0" w:beforeAutospacing="0" w:after="0" w:afterAutospacing="0"/>
        <w:ind w:firstLine="643" w:firstLineChars="200"/>
        <w:rPr>
          <w:rFonts w:ascii="仿宋" w:hAnsi="仿宋" w:eastAsia="仿宋"/>
          <w:sz w:val="32"/>
          <w:szCs w:val="32"/>
        </w:rPr>
      </w:pPr>
      <w:r>
        <w:rPr>
          <w:rFonts w:hint="eastAsia" w:ascii="仿宋" w:hAnsi="仿宋" w:eastAsia="仿宋"/>
          <w:b/>
          <w:sz w:val="32"/>
          <w:szCs w:val="32"/>
          <w:lang w:val="en-US" w:eastAsia="zh-CN"/>
        </w:rPr>
        <w:t>8.</w:t>
      </w:r>
      <w:r>
        <w:rPr>
          <w:rFonts w:hint="eastAsia" w:ascii="仿宋" w:hAnsi="仿宋" w:eastAsia="仿宋"/>
          <w:b/>
          <w:sz w:val="32"/>
          <w:szCs w:val="32"/>
        </w:rPr>
        <w:t>研究结论</w:t>
      </w:r>
      <w:r>
        <w:rPr>
          <w:rFonts w:hint="eastAsia" w:ascii="仿宋" w:hAnsi="仿宋" w:eastAsia="仿宋"/>
          <w:sz w:val="32"/>
          <w:szCs w:val="32"/>
        </w:rPr>
        <w:t>：论文作者可根据相关参考文献，简要评论项目的突出研究成果。</w:t>
      </w:r>
    </w:p>
    <w:p w14:paraId="2522CDD4">
      <w:pPr>
        <w:widowControl/>
        <w:kinsoku w:val="0"/>
        <w:autoSpaceDE w:val="0"/>
        <w:autoSpaceDN w:val="0"/>
        <w:adjustRightInd w:val="0"/>
        <w:snapToGrid w:val="0"/>
        <w:spacing w:before="160"/>
        <w:textAlignment w:val="baseline"/>
        <w:rPr>
          <w:rFonts w:ascii="黑体" w:hAnsi="黑体" w:eastAsia="黑体" w:cs="黑体"/>
          <w:snapToGrid w:val="0"/>
          <w:color w:val="000000"/>
          <w:spacing w:val="-4"/>
          <w:kern w:val="0"/>
          <w:sz w:val="32"/>
          <w:szCs w:val="32"/>
        </w:rPr>
      </w:pPr>
    </w:p>
    <w:p w14:paraId="724CFD8F">
      <w:pPr>
        <w:widowControl/>
        <w:kinsoku w:val="0"/>
        <w:autoSpaceDE w:val="0"/>
        <w:autoSpaceDN w:val="0"/>
        <w:adjustRightInd w:val="0"/>
        <w:snapToGrid w:val="0"/>
        <w:spacing w:before="160"/>
        <w:textAlignment w:val="baseline"/>
        <w:rPr>
          <w:rFonts w:ascii="黑体" w:hAnsi="黑体" w:eastAsia="黑体" w:cs="黑体"/>
          <w:snapToGrid w:val="0"/>
          <w:color w:val="000000"/>
          <w:spacing w:val="-4"/>
          <w:kern w:val="0"/>
          <w:sz w:val="32"/>
          <w:szCs w:val="32"/>
        </w:rPr>
      </w:pPr>
    </w:p>
    <w:p w14:paraId="5B6F947F">
      <w:pPr>
        <w:widowControl/>
        <w:kinsoku w:val="0"/>
        <w:autoSpaceDE w:val="0"/>
        <w:autoSpaceDN w:val="0"/>
        <w:adjustRightInd w:val="0"/>
        <w:snapToGrid w:val="0"/>
        <w:spacing w:before="160"/>
        <w:textAlignment w:val="baseline"/>
        <w:rPr>
          <w:rFonts w:ascii="黑体" w:hAnsi="黑体" w:eastAsia="黑体" w:cs="黑体"/>
          <w:snapToGrid w:val="0"/>
          <w:color w:val="000000"/>
          <w:spacing w:val="-4"/>
          <w:kern w:val="0"/>
          <w:sz w:val="32"/>
          <w:szCs w:val="32"/>
        </w:rPr>
      </w:pPr>
    </w:p>
    <w:p w14:paraId="477E8131">
      <w:pPr>
        <w:widowControl/>
        <w:kinsoku w:val="0"/>
        <w:autoSpaceDE w:val="0"/>
        <w:autoSpaceDN w:val="0"/>
        <w:adjustRightInd w:val="0"/>
        <w:snapToGrid w:val="0"/>
        <w:spacing w:before="160"/>
        <w:textAlignment w:val="baseline"/>
        <w:rPr>
          <w:rFonts w:ascii="黑体" w:hAnsi="黑体" w:eastAsia="黑体" w:cs="黑体"/>
          <w:snapToGrid w:val="0"/>
          <w:color w:val="000000"/>
          <w:spacing w:val="-4"/>
          <w:kern w:val="0"/>
          <w:sz w:val="32"/>
          <w:szCs w:val="32"/>
        </w:rPr>
      </w:pPr>
    </w:p>
    <w:p w14:paraId="066B016F">
      <w:pPr>
        <w:widowControl/>
        <w:kinsoku w:val="0"/>
        <w:autoSpaceDE w:val="0"/>
        <w:autoSpaceDN w:val="0"/>
        <w:adjustRightInd w:val="0"/>
        <w:snapToGrid w:val="0"/>
        <w:spacing w:before="160"/>
        <w:textAlignment w:val="baseline"/>
        <w:rPr>
          <w:rFonts w:ascii="黑体" w:hAnsi="黑体" w:eastAsia="黑体" w:cs="黑体"/>
          <w:snapToGrid w:val="0"/>
          <w:color w:val="000000"/>
          <w:spacing w:val="-4"/>
          <w:kern w:val="0"/>
          <w:sz w:val="32"/>
          <w:szCs w:val="32"/>
        </w:rPr>
      </w:pPr>
    </w:p>
    <w:p w14:paraId="579B5A8F">
      <w:pPr>
        <w:widowControl/>
        <w:kinsoku w:val="0"/>
        <w:autoSpaceDE w:val="0"/>
        <w:autoSpaceDN w:val="0"/>
        <w:adjustRightInd w:val="0"/>
        <w:snapToGrid w:val="0"/>
        <w:spacing w:before="160"/>
        <w:textAlignment w:val="baseline"/>
        <w:rPr>
          <w:rFonts w:ascii="黑体" w:hAnsi="黑体" w:eastAsia="黑体" w:cs="黑体"/>
          <w:snapToGrid w:val="0"/>
          <w:color w:val="000000"/>
          <w:spacing w:val="-4"/>
          <w:kern w:val="0"/>
          <w:sz w:val="32"/>
          <w:szCs w:val="32"/>
        </w:rPr>
      </w:pPr>
    </w:p>
    <w:p w14:paraId="69464E38">
      <w:pPr>
        <w:spacing w:line="500" w:lineRule="exact"/>
        <w:jc w:val="both"/>
        <w:rPr>
          <w:rFonts w:hint="eastAsia" w:ascii="黑体" w:hAnsi="黑体" w:eastAsia="黑体" w:cs="黑体"/>
          <w:b/>
          <w:sz w:val="32"/>
          <w:szCs w:val="32"/>
          <w:lang w:val="en-US" w:eastAsia="zh-CN"/>
        </w:rPr>
      </w:pPr>
      <w:r>
        <w:rPr>
          <w:rFonts w:hint="eastAsia" w:ascii="黑体" w:hAnsi="黑体" w:eastAsia="黑体" w:cs="黑体"/>
          <w:b/>
          <w:sz w:val="32"/>
          <w:szCs w:val="32"/>
        </w:rPr>
        <w:t>论文格式示例</w:t>
      </w:r>
      <w:r>
        <w:rPr>
          <w:rFonts w:hint="eastAsia" w:ascii="黑体" w:hAnsi="黑体" w:eastAsia="黑体" w:cs="黑体"/>
          <w:b/>
          <w:sz w:val="32"/>
          <w:szCs w:val="32"/>
          <w:lang w:val="en-US" w:eastAsia="zh-CN"/>
        </w:rPr>
        <w:t xml:space="preserve"> ：</w:t>
      </w:r>
    </w:p>
    <w:p w14:paraId="2CD42284">
      <w:pPr>
        <w:spacing w:line="500" w:lineRule="exact"/>
        <w:jc w:val="center"/>
        <w:rPr>
          <w:rFonts w:hint="eastAsia" w:ascii="黑体" w:hAnsi="黑体" w:eastAsia="黑体" w:cs="黑体"/>
          <w:b/>
          <w:sz w:val="32"/>
          <w:szCs w:val="32"/>
        </w:rPr>
      </w:pPr>
    </w:p>
    <w:p w14:paraId="7AC530AF">
      <w:pPr>
        <w:spacing w:line="500" w:lineRule="exact"/>
        <w:jc w:val="center"/>
        <w:rPr>
          <w:rFonts w:hint="eastAsia" w:ascii="黑体" w:hAnsi="黑体" w:eastAsia="黑体" w:cs="黑体"/>
          <w:b/>
          <w:sz w:val="32"/>
          <w:szCs w:val="32"/>
        </w:rPr>
      </w:pPr>
      <w:r>
        <w:rPr>
          <w:rFonts w:hint="eastAsia" w:ascii="黑体" w:hAnsi="黑体" w:eastAsia="黑体" w:cs="黑体"/>
          <w:b/>
          <w:sz w:val="32"/>
          <w:szCs w:val="32"/>
        </w:rPr>
        <w:t>体育硕士专业学位研究生培养模式创新与实践探索</w:t>
      </w:r>
    </w:p>
    <w:p w14:paraId="2C619CE3">
      <w:pPr>
        <w:widowControl/>
        <w:kinsoku w:val="0"/>
        <w:autoSpaceDE w:val="0"/>
        <w:autoSpaceDN w:val="0"/>
        <w:adjustRightInd w:val="0"/>
        <w:snapToGrid w:val="0"/>
        <w:spacing w:before="268"/>
        <w:ind w:left="3198"/>
        <w:jc w:val="left"/>
        <w:textAlignment w:val="baseline"/>
        <w:rPr>
          <w:rFonts w:ascii="黑体" w:hAnsi="黑体" w:eastAsia="黑体" w:cs="黑体"/>
          <w:snapToGrid w:val="0"/>
          <w:color w:val="000000"/>
          <w:spacing w:val="-1"/>
          <w:kern w:val="0"/>
          <w:sz w:val="28"/>
          <w:szCs w:val="28"/>
        </w:rPr>
      </w:pPr>
      <w:r>
        <w:rPr>
          <w:rFonts w:hint="eastAsia" w:ascii="黑体" w:hAnsi="黑体" w:eastAsia="黑体" w:cs="黑体"/>
          <w:snapToGrid w:val="0"/>
          <w:color w:val="000000"/>
          <w:spacing w:val="-1"/>
          <w:kern w:val="0"/>
          <w:sz w:val="28"/>
          <w:szCs w:val="28"/>
        </w:rPr>
        <w:t>作者一、作者二</w:t>
      </w:r>
    </w:p>
    <w:p w14:paraId="2658821C">
      <w:pPr>
        <w:widowControl/>
        <w:kinsoku w:val="0"/>
        <w:autoSpaceDE w:val="0"/>
        <w:autoSpaceDN w:val="0"/>
        <w:adjustRightInd w:val="0"/>
        <w:snapToGrid w:val="0"/>
        <w:spacing w:before="153"/>
        <w:ind w:left="1803"/>
        <w:jc w:val="left"/>
        <w:textAlignment w:val="baseline"/>
        <w:rPr>
          <w:b/>
          <w:sz w:val="24"/>
        </w:rPr>
      </w:pPr>
      <w:r>
        <w:rPr>
          <w:rFonts w:hint="eastAsia" w:ascii="黑体" w:hAnsi="黑体" w:eastAsia="黑体" w:cs="黑体"/>
          <w:snapToGrid w:val="0"/>
          <w:color w:val="000000"/>
          <w:spacing w:val="-5"/>
          <w:kern w:val="0"/>
          <w:sz w:val="24"/>
          <w:szCs w:val="24"/>
        </w:rPr>
        <w:t xml:space="preserve">XX 大学， </w:t>
      </w:r>
      <w:r>
        <w:rPr>
          <w:rFonts w:hint="eastAsia" w:ascii="黑体" w:hAnsi="黑体" w:eastAsia="黑体" w:cs="黑体"/>
          <w:snapToGrid w:val="0"/>
          <w:color w:val="000000"/>
          <w:spacing w:val="-5"/>
          <w:kern w:val="0"/>
          <w:sz w:val="24"/>
          <w:szCs w:val="24"/>
          <w:lang w:val="en-US" w:eastAsia="zh-CN"/>
        </w:rPr>
        <w:t>12345678900</w:t>
      </w:r>
      <w:r>
        <w:rPr>
          <w:rFonts w:hint="eastAsia" w:ascii="黑体" w:hAnsi="黑体" w:eastAsia="黑体" w:cs="黑体"/>
          <w:snapToGrid w:val="0"/>
          <w:color w:val="000000"/>
          <w:spacing w:val="-5"/>
          <w:kern w:val="0"/>
          <w:sz w:val="24"/>
          <w:szCs w:val="24"/>
        </w:rPr>
        <w:t>，</w:t>
      </w:r>
      <w:r>
        <w:rPr>
          <w:rFonts w:hint="eastAsia" w:ascii="黑体" w:hAnsi="黑体" w:eastAsia="黑体" w:cs="黑体"/>
          <w:snapToGrid w:val="0"/>
          <w:color w:val="000000"/>
          <w:spacing w:val="-5"/>
          <w:kern w:val="0"/>
          <w:sz w:val="24"/>
          <w:szCs w:val="24"/>
          <w:lang w:val="en-US" w:eastAsia="zh-CN"/>
        </w:rPr>
        <w:t>654321</w:t>
      </w:r>
      <w:r>
        <w:rPr>
          <w:rFonts w:hint="eastAsia" w:ascii="黑体" w:hAnsi="黑体" w:eastAsia="黑体" w:cs="黑体"/>
          <w:snapToGrid w:val="0"/>
          <w:color w:val="000000"/>
          <w:spacing w:val="-5"/>
          <w:kern w:val="0"/>
          <w:sz w:val="24"/>
          <w:szCs w:val="24"/>
        </w:rPr>
        <w:t>@xx.com</w:t>
      </w:r>
    </w:p>
    <w:p w14:paraId="19205917">
      <w:pPr>
        <w:keepNext w:val="0"/>
        <w:keepLines w:val="0"/>
        <w:pageBreakBefore w:val="0"/>
        <w:kinsoku/>
        <w:wordWrap/>
        <w:overflowPunct/>
        <w:topLinePunct w:val="0"/>
        <w:autoSpaceDE/>
        <w:autoSpaceDN/>
        <w:bidi w:val="0"/>
        <w:adjustRightInd/>
        <w:snapToGrid/>
        <w:spacing w:line="450" w:lineRule="exact"/>
        <w:textAlignment w:val="auto"/>
        <w:rPr>
          <w:rFonts w:hint="eastAsia" w:asciiTheme="minorEastAsia" w:hAnsiTheme="minorEastAsia" w:eastAsiaTheme="minorEastAsia" w:cstheme="minorEastAsia"/>
          <w:b/>
          <w:bCs/>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lang w:val="en-US" w:eastAsia="zh-CN"/>
          <w14:textFill>
            <w14:solidFill>
              <w14:schemeClr w14:val="tx1"/>
            </w14:solidFill>
          </w14:textFill>
        </w:rPr>
        <w:t>1.研究目的</w:t>
      </w:r>
    </w:p>
    <w:p w14:paraId="34389533">
      <w:pPr>
        <w:keepNext w:val="0"/>
        <w:keepLines w:val="0"/>
        <w:pageBreakBefore w:val="0"/>
        <w:kinsoku/>
        <w:wordWrap/>
        <w:overflowPunct/>
        <w:topLinePunct w:val="0"/>
        <w:autoSpaceDE/>
        <w:autoSpaceDN/>
        <w:bidi w:val="0"/>
        <w:adjustRightInd/>
        <w:snapToGrid/>
        <w:spacing w:line="450" w:lineRule="exact"/>
        <w:ind w:firstLine="420" w:firstLineChars="200"/>
        <w:textAlignment w:val="auto"/>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落实教育部关于《教育部关于深入推进学术学位与专业学位研究生教育分类发展的意见》要求，结合健康中国、体育强国战略对创新型、应用型、复合型高层次体育专门人才的时代需求，分析提升体育硕士专业学位研究生培养质量的现实困境和纾解路径，探索以产教融合为方向，以强化体育专业学位硕士研究生在定位、标准、招生、培养、</w:t>
      </w:r>
      <w: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评价、师资等环节的差异化要求</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为</w:t>
      </w:r>
      <w: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路径</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的</w:t>
      </w:r>
      <w: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实践创新型</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高水平体育专门</w:t>
      </w:r>
      <w: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人才培养</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模式。</w:t>
      </w:r>
    </w:p>
    <w:p w14:paraId="4B6010FE">
      <w:pPr>
        <w:keepNext w:val="0"/>
        <w:keepLines w:val="0"/>
        <w:pageBreakBefore w:val="0"/>
        <w:kinsoku/>
        <w:wordWrap/>
        <w:overflowPunct/>
        <w:topLinePunct w:val="0"/>
        <w:autoSpaceDE/>
        <w:autoSpaceDN/>
        <w:bidi w:val="0"/>
        <w:adjustRightInd/>
        <w:snapToGrid/>
        <w:spacing w:line="450" w:lineRule="exact"/>
        <w:textAlignment w:val="auto"/>
        <w:rPr>
          <w:rFonts w:hint="eastAsia" w:asciiTheme="minorEastAsia" w:hAnsiTheme="minorEastAsia" w:eastAsiaTheme="minorEastAsia" w:cstheme="minorEastAsia"/>
          <w:b/>
          <w:bCs/>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lang w:val="en-US" w:eastAsia="zh-CN"/>
          <w14:textFill>
            <w14:solidFill>
              <w14:schemeClr w14:val="tx1"/>
            </w14:solidFill>
          </w14:textFill>
        </w:rPr>
        <w:t>2.研究方法</w:t>
      </w:r>
    </w:p>
    <w:p w14:paraId="0DE0C68D">
      <w:pPr>
        <w:keepNext w:val="0"/>
        <w:keepLines w:val="0"/>
        <w:pageBreakBefore w:val="0"/>
        <w:numPr>
          <w:ilvl w:val="0"/>
          <w:numId w:val="0"/>
        </w:numPr>
        <w:kinsoku/>
        <w:wordWrap/>
        <w:overflowPunct/>
        <w:topLinePunct w:val="0"/>
        <w:autoSpaceDE/>
        <w:autoSpaceDN/>
        <w:bidi w:val="0"/>
        <w:adjustRightInd/>
        <w:snapToGrid/>
        <w:spacing w:line="45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运用逻辑分析</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法</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、实践验证等研究方法，</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分析XX体育</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学院目前我国体育硕士专业学位研究生培养过程中存在的共性问题，如观念认识、课程设置、教学内容和方法、实习实践等仍沿袭传统学术型研究生培养方法，与学术型研究生“混合”培养，缺乏鲜明培养特色以及发展机制仍不健全等，进行人才培养模式实践探索过程与取得的成果。</w:t>
      </w:r>
    </w:p>
    <w:p w14:paraId="4E1ECF70">
      <w:pPr>
        <w:keepNext w:val="0"/>
        <w:keepLines w:val="0"/>
        <w:pageBreakBefore w:val="0"/>
        <w:kinsoku/>
        <w:wordWrap/>
        <w:overflowPunct/>
        <w:topLinePunct w:val="0"/>
        <w:autoSpaceDE/>
        <w:autoSpaceDN/>
        <w:bidi w:val="0"/>
        <w:adjustRightInd/>
        <w:snapToGrid/>
        <w:spacing w:line="450" w:lineRule="exact"/>
        <w:textAlignment w:val="auto"/>
        <w:rPr>
          <w:rFonts w:hint="default" w:asciiTheme="minorEastAsia" w:hAnsiTheme="minorEastAsia" w:eastAsiaTheme="minorEastAsia" w:cstheme="minorEastAsia"/>
          <w:b/>
          <w:bCs/>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lang w:val="en-US" w:eastAsia="zh-CN"/>
          <w14:textFill>
            <w14:solidFill>
              <w14:schemeClr w14:val="tx1"/>
            </w14:solidFill>
          </w14:textFill>
        </w:rPr>
        <w:t>3.研究结果</w:t>
      </w:r>
    </w:p>
    <w:p w14:paraId="2BB96A5E">
      <w:pPr>
        <w:pStyle w:val="2"/>
        <w:keepNext w:val="0"/>
        <w:keepLines w:val="0"/>
        <w:pageBreakBefore w:val="0"/>
        <w:kinsoku/>
        <w:wordWrap/>
        <w:overflowPunct/>
        <w:topLinePunct w:val="0"/>
        <w:autoSpaceDE/>
        <w:autoSpaceDN/>
        <w:bidi w:val="0"/>
        <w:adjustRightInd/>
        <w:snapToGrid/>
        <w:spacing w:line="45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0" w:name="_GoBack"/>
      <w:bookmarkEnd w:id="0"/>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1体育硕士专业学位培养模式创新措施</w:t>
      </w:r>
    </w:p>
    <w:p w14:paraId="7B634A5D">
      <w:pPr>
        <w:pStyle w:val="8"/>
        <w:keepNext w:val="0"/>
        <w:keepLines w:val="0"/>
        <w:pageBreakBefore w:val="0"/>
        <w:kinsoku/>
        <w:wordWrap/>
        <w:overflowPunct/>
        <w:topLinePunct w:val="0"/>
        <w:autoSpaceDE/>
        <w:autoSpaceDN/>
        <w:bidi w:val="0"/>
        <w:adjustRightInd/>
        <w:snapToGrid/>
        <w:spacing w:line="450" w:lineRule="exact"/>
        <w:jc w:val="both"/>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1.1深化招生制度改革，实行分类考试和招生</w:t>
      </w:r>
    </w:p>
    <w:p w14:paraId="7FD33C18">
      <w:pPr>
        <w:keepNext w:val="0"/>
        <w:keepLines w:val="0"/>
        <w:pageBreakBefore w:val="0"/>
        <w:kinsoku/>
        <w:wordWrap/>
        <w:overflowPunct/>
        <w:topLinePunct w:val="0"/>
        <w:autoSpaceDE/>
        <w:autoSpaceDN/>
        <w:bidi w:val="0"/>
        <w:adjustRightInd/>
        <w:snapToGrid/>
        <w:spacing w:line="45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（1）初试阶段，侧重考查运用运动生理学、运动训练学基础知识解决教学与训练中的实际问题的能力。（2）复试侧重考查运动项目专项技术水平和教学、训练技能。专项技术考查不及格者不予录取。</w:t>
      </w:r>
    </w:p>
    <w:p w14:paraId="2CB435C8">
      <w:pPr>
        <w:pStyle w:val="8"/>
        <w:keepNext w:val="0"/>
        <w:keepLines w:val="0"/>
        <w:pageBreakBefore w:val="0"/>
        <w:kinsoku/>
        <w:wordWrap/>
        <w:overflowPunct/>
        <w:topLinePunct w:val="0"/>
        <w:autoSpaceDE/>
        <w:autoSpaceDN/>
        <w:bidi w:val="0"/>
        <w:adjustRightInd/>
        <w:snapToGrid/>
        <w:spacing w:line="450" w:lineRule="exact"/>
        <w:jc w:val="both"/>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1.2调整培养方案，增加实践类课程</w:t>
      </w:r>
    </w:p>
    <w:p w14:paraId="1BEDD21D">
      <w:pPr>
        <w:keepNext w:val="0"/>
        <w:keepLines w:val="0"/>
        <w:pageBreakBefore w:val="0"/>
        <w:kinsoku/>
        <w:wordWrap/>
        <w:overflowPunct/>
        <w:topLinePunct w:val="0"/>
        <w:autoSpaceDE/>
        <w:autoSpaceDN/>
        <w:bidi w:val="0"/>
        <w:adjustRightInd/>
        <w:snapToGrid/>
        <w:spacing w:line="45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提高专业实践能力、创新能力。总学分由原来的36学分增加到42学分。专业发展特点，设置21门不同运动项目的教学与训练技能方法类课程，突出课程的实践特色和创新特色。如体育教学与运动训练领域增加“体育教学基本技能”、田径、游泳、“三大球”“三小球”等项目教学方法类课程，体育教学与社会体育指导领域开设气排球、地壶球、攀岩等项目教学方法类课。有效提升了专项教学、训练能力。</w:t>
      </w:r>
    </w:p>
    <w:p w14:paraId="3082A20E">
      <w:pPr>
        <w:keepNext w:val="0"/>
        <w:keepLines w:val="0"/>
        <w:pageBreakBefore w:val="0"/>
        <w:kinsoku/>
        <w:wordWrap/>
        <w:overflowPunct/>
        <w:topLinePunct w:val="0"/>
        <w:autoSpaceDE/>
        <w:autoSpaceDN/>
        <w:bidi w:val="0"/>
        <w:adjustRightInd/>
        <w:snapToGrid/>
        <w:spacing w:line="45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优选教学内容、细化教学大纲，建设案例教学库。设置专项资金支持教学案例库开发。利用实验室、健身房、运动场等资源，积极推行案例教学、专题研讨、模拟训练等实践教学。注重过程考核和能力评价，着重考察运用专业知识和解决教学与训练实际问题的能力。</w:t>
      </w:r>
    </w:p>
    <w:p w14:paraId="4ADABE26">
      <w:pPr>
        <w:pStyle w:val="8"/>
        <w:keepNext w:val="0"/>
        <w:keepLines w:val="0"/>
        <w:pageBreakBefore w:val="0"/>
        <w:kinsoku/>
        <w:wordWrap/>
        <w:overflowPunct/>
        <w:topLinePunct w:val="0"/>
        <w:autoSpaceDE/>
        <w:autoSpaceDN/>
        <w:bidi w:val="0"/>
        <w:adjustRightInd/>
        <w:snapToGrid/>
        <w:spacing w:line="450" w:lineRule="exact"/>
        <w:jc w:val="both"/>
        <w:textAlignment w:val="auto"/>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1.3强化实践能力培养，突出专业实践技能</w:t>
      </w:r>
    </w:p>
    <w:p w14:paraId="44A184F4">
      <w:pPr>
        <w:keepNext w:val="0"/>
        <w:keepLines w:val="0"/>
        <w:pageBreakBefore w:val="0"/>
        <w:kinsoku/>
        <w:wordWrap/>
        <w:overflowPunct/>
        <w:topLinePunct w:val="0"/>
        <w:autoSpaceDE/>
        <w:autoSpaceDN/>
        <w:bidi w:val="0"/>
        <w:adjustRightInd/>
        <w:snapToGrid/>
        <w:spacing w:line="45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制定“专业学位研究生实习管理办法”和“实习手册”。要求全体学生到实习基地集中进行为期一个学期实习，全程参与实习学校课堂教学、大课间、课余体育活动以及运动队训练和比赛等学校体育工作。实习基地领导参与管理，安排副高以上教师担任指导教师，每人指导学生不超3人。实习前，督促学生夯实教学基本功，实习中间及时检查，实习结束后需撰写5千字实习报告，提交听课记录、教案和上课视频及活动策划方案等成果。实习成绩=实习单位评定（30%）+中期检查（10%）+实习手册评定（30%）+教学训练视频评定（30%）。成绩&lt;75分者不达标，需重新实习，并停发本学年学业奖学金。每年评选20%的优秀实习生和优秀实习指导教师。充分利用实习实践环节提升学生专业实践能力。</w:t>
      </w:r>
    </w:p>
    <w:p w14:paraId="4F9641BB">
      <w:pPr>
        <w:pStyle w:val="8"/>
        <w:keepNext w:val="0"/>
        <w:keepLines w:val="0"/>
        <w:pageBreakBefore w:val="0"/>
        <w:kinsoku/>
        <w:wordWrap/>
        <w:overflowPunct/>
        <w:topLinePunct w:val="0"/>
        <w:autoSpaceDE/>
        <w:autoSpaceDN/>
        <w:bidi w:val="0"/>
        <w:adjustRightInd/>
        <w:snapToGrid/>
        <w:spacing w:line="450" w:lineRule="exact"/>
        <w:jc w:val="both"/>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1.4学位论文强调问题导向，突显应用价值</w:t>
      </w:r>
    </w:p>
    <w:p w14:paraId="6EEAE0C1">
      <w:pPr>
        <w:keepNext w:val="0"/>
        <w:keepLines w:val="0"/>
        <w:pageBreakBefore w:val="0"/>
        <w:kinsoku/>
        <w:wordWrap/>
        <w:overflowPunct/>
        <w:topLinePunct w:val="0"/>
        <w:autoSpaceDE/>
        <w:autoSpaceDN/>
        <w:bidi w:val="0"/>
        <w:adjustRightInd/>
        <w:snapToGrid/>
        <w:spacing w:line="45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明确选题的应用性和方向性：体育教学领域围绕教学方法、教学手段和教学模式改革与创新、教学管理、新教学理念和现代信息技术应用、运动项目教学改革与发展等问题进行选题；运动训练领域围绕项目的专项体能训练、技术与战术训练改革创新、新的训练理念与新训练手段方法运用、训练管理等问题选题。社会体育指导领域围绕实施“健康中国”国家战略和全民健身领域需要解决的实际问题进行选题。</w:t>
      </w:r>
    </w:p>
    <w:p w14:paraId="4930A6E2">
      <w:pPr>
        <w:pStyle w:val="8"/>
        <w:keepNext w:val="0"/>
        <w:keepLines w:val="0"/>
        <w:pageBreakBefore w:val="0"/>
        <w:kinsoku/>
        <w:wordWrap/>
        <w:overflowPunct/>
        <w:topLinePunct w:val="0"/>
        <w:autoSpaceDE/>
        <w:autoSpaceDN/>
        <w:bidi w:val="0"/>
        <w:adjustRightInd/>
        <w:snapToGrid/>
        <w:spacing w:line="450" w:lineRule="exact"/>
        <w:jc w:val="both"/>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1.5落实立德树人，加强师资队伍建设</w:t>
      </w:r>
    </w:p>
    <w:p w14:paraId="77636E1E">
      <w:pPr>
        <w:keepNext w:val="0"/>
        <w:keepLines w:val="0"/>
        <w:pageBreakBefore w:val="0"/>
        <w:kinsoku/>
        <w:wordWrap/>
        <w:overflowPunct/>
        <w:topLinePunct w:val="0"/>
        <w:autoSpaceDE/>
        <w:autoSpaceDN/>
        <w:bidi w:val="0"/>
        <w:adjustRightInd/>
        <w:snapToGrid/>
        <w:spacing w:line="45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加强师德师风建设。明确导师责任，制定《广州体育学院全面落实研究生导师立德树人职责实施细则》等5项相关制度并严格执行。建立“学校党委领导下，研究生院监督执行与学生反馈评价相结合”的三位一体师德建设体系。（2）按照《硕士研究生导师遴选办法》的规定，无体育专业背景的导师不能担任本专业的导师，（3）常态化就师德师风、专业能力、科学研究等方面进行培训，积极培养“双师型”导师，大力推行“双导师制”。</w:t>
      </w:r>
    </w:p>
    <w:p w14:paraId="5516F0A8">
      <w:pPr>
        <w:pStyle w:val="8"/>
        <w:keepNext w:val="0"/>
        <w:keepLines w:val="0"/>
        <w:pageBreakBefore w:val="0"/>
        <w:kinsoku/>
        <w:wordWrap/>
        <w:overflowPunct/>
        <w:topLinePunct w:val="0"/>
        <w:autoSpaceDE/>
        <w:autoSpaceDN/>
        <w:bidi w:val="0"/>
        <w:adjustRightInd/>
        <w:snapToGrid/>
        <w:spacing w:line="450" w:lineRule="exact"/>
        <w:jc w:val="both"/>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1.6推行协同育人</w:t>
      </w:r>
    </w:p>
    <w:p w14:paraId="266D3D79">
      <w:pPr>
        <w:keepNext w:val="0"/>
        <w:keepLines w:val="0"/>
        <w:pageBreakBefore w:val="0"/>
        <w:kinsoku/>
        <w:wordWrap/>
        <w:overflowPunct/>
        <w:topLinePunct w:val="0"/>
        <w:autoSpaceDE/>
        <w:autoSpaceDN/>
        <w:bidi w:val="0"/>
        <w:adjustRightInd/>
        <w:snapToGrid/>
        <w:spacing w:line="45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2014年我校牵头成立了“华南地区体育学研究生培养联盟”，2015-2019年，先后与广东第二师范学院、韶关学院、嘉应学院等院校建立了联合培养体育硕士研究生协作关系，吸纳了全省的优秀导师资源。</w:t>
      </w:r>
    </w:p>
    <w:p w14:paraId="550CFA1E">
      <w:pPr>
        <w:pStyle w:val="8"/>
        <w:keepNext w:val="0"/>
        <w:keepLines w:val="0"/>
        <w:pageBreakBefore w:val="0"/>
        <w:kinsoku/>
        <w:wordWrap/>
        <w:overflowPunct/>
        <w:topLinePunct w:val="0"/>
        <w:autoSpaceDE/>
        <w:autoSpaceDN/>
        <w:bidi w:val="0"/>
        <w:adjustRightInd/>
        <w:snapToGrid/>
        <w:spacing w:line="450" w:lineRule="exact"/>
        <w:jc w:val="both"/>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1.7完善质量保障体系</w:t>
      </w:r>
    </w:p>
    <w:p w14:paraId="23ABFFBE">
      <w:pPr>
        <w:keepNext w:val="0"/>
        <w:keepLines w:val="0"/>
        <w:pageBreakBefore w:val="0"/>
        <w:kinsoku/>
        <w:wordWrap/>
        <w:overflowPunct/>
        <w:topLinePunct w:val="0"/>
        <w:autoSpaceDE/>
        <w:autoSpaceDN/>
        <w:bidi w:val="0"/>
        <w:adjustRightInd/>
        <w:snapToGrid/>
        <w:spacing w:line="45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细化和完善了广州体育体育学院体育硕士专业学位研究生培养质量保障和监控体系，构建了“以教育部质量评估为引导，以学校质量保证为基础，学术组织、行业部门和社会机构共同参与”的内部和外部约束相结合的质量监督体系。</w:t>
      </w:r>
    </w:p>
    <w:p w14:paraId="129EA5C7">
      <w:pPr>
        <w:pStyle w:val="2"/>
        <w:keepNext w:val="0"/>
        <w:keepLines w:val="0"/>
        <w:pageBreakBefore w:val="0"/>
        <w:kinsoku/>
        <w:wordWrap/>
        <w:overflowPunct/>
        <w:topLinePunct w:val="0"/>
        <w:autoSpaceDE/>
        <w:autoSpaceDN/>
        <w:bidi w:val="0"/>
        <w:adjustRightInd/>
        <w:snapToGrid/>
        <w:spacing w:line="45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4.研究结论</w:t>
      </w:r>
    </w:p>
    <w:p w14:paraId="39B49869">
      <w:pPr>
        <w:keepNext w:val="0"/>
        <w:keepLines w:val="0"/>
        <w:pageBreakBefore w:val="0"/>
        <w:kinsoku/>
        <w:wordWrap/>
        <w:overflowPunct/>
        <w:topLinePunct w:val="0"/>
        <w:autoSpaceDE/>
        <w:autoSpaceDN/>
        <w:bidi w:val="0"/>
        <w:adjustRightInd/>
        <w:snapToGrid/>
        <w:spacing w:line="450" w:lineRule="exact"/>
        <w:ind w:firstLine="420" w:firstLineChars="200"/>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3361690</wp:posOffset>
            </wp:positionH>
            <wp:positionV relativeFrom="paragraph">
              <wp:posOffset>50165</wp:posOffset>
            </wp:positionV>
            <wp:extent cx="2080260" cy="2214880"/>
            <wp:effectExtent l="0" t="0" r="15240" b="1397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srcRect/>
                    <a:stretch>
                      <a:fillRect/>
                    </a:stretch>
                  </pic:blipFill>
                  <pic:spPr>
                    <a:xfrm>
                      <a:off x="0" y="0"/>
                      <a:ext cx="2080260" cy="221488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color w:val="000000" w:themeColor="text1"/>
          <w:sz w:val="21"/>
          <w:szCs w:val="21"/>
          <w14:textFill>
            <w14:solidFill>
              <w14:schemeClr w14:val="tx1"/>
            </w14:solidFill>
          </w14:textFill>
        </w:rPr>
        <w:t>该校遵循“适应社会需求，强化职业导向，创新培养模式，突出自身特色，完善保障机制，注重提高质量”的培养原则，于2015-2020年对体育硕士</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研究生培养模式创新进行了实践探索。</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确立了“一条主线、四项任务、八项举措”的综合改革策略，</w:t>
      </w:r>
      <w:r>
        <w:rPr>
          <w:rFonts w:hint="eastAsia" w:asciiTheme="minorEastAsia" w:hAnsiTheme="minorEastAsia" w:eastAsiaTheme="minorEastAsia" w:cstheme="minorEastAsia"/>
          <w:b w:val="0"/>
          <w:bCs/>
          <w:color w:val="000000" w:themeColor="text1"/>
          <w:kern w:val="0"/>
          <w:sz w:val="21"/>
          <w:szCs w:val="21"/>
          <w14:textFill>
            <w14:solidFill>
              <w14:schemeClr w14:val="tx1"/>
            </w14:solidFill>
          </w14:textFill>
        </w:rPr>
        <w:t>构建了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“专业知识+专项技能+职业发展+科研能力”四位一体的体育硕士研究生培养模式。</w:t>
      </w:r>
    </w:p>
    <w:p w14:paraId="0024DDB2">
      <w:pPr>
        <w:keepNext w:val="0"/>
        <w:keepLines w:val="0"/>
        <w:pageBreakBefore w:val="0"/>
        <w:kinsoku/>
        <w:wordWrap/>
        <w:overflowPunct/>
        <w:topLinePunct w:val="0"/>
        <w:autoSpaceDE/>
        <w:autoSpaceDN/>
        <w:bidi w:val="0"/>
        <w:adjustRightInd/>
        <w:snapToGrid/>
        <w:spacing w:line="45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经过5年多的实践，从根本上解决了学硕与专硕“混养”的局面，培养质量、社会认可度得到了全面提升，获得了学界、业界和考生的好评。全日制体育硕士报考人数从2013年的463人提升至2020年的1218人，学硕与专硕的比例为1:1.92。与职业需求对接更加紧密，用人单位对毕业生质量更加满意，一次就业率达98%，学位论文抽检合格率保持100%，在各类竞赛中屡创佳绩。2019-2020年《中国研究生教育及学科专业评价报告》显示，体育硕士教育竞争力在124所培养单位中位列第12，进入同类院校领先行列。</w:t>
      </w:r>
    </w:p>
    <w:p w14:paraId="410DCFEE">
      <w:pPr>
        <w:pStyle w:val="2"/>
        <w:keepNext w:val="0"/>
        <w:keepLines w:val="0"/>
        <w:pageBreakBefore w:val="0"/>
        <w:kinsoku/>
        <w:wordWrap/>
        <w:overflowPunct/>
        <w:topLinePunct w:val="0"/>
        <w:autoSpaceDE/>
        <w:autoSpaceDN/>
        <w:bidi w:val="0"/>
        <w:adjustRightInd/>
        <w:snapToGrid/>
        <w:spacing w:line="450" w:lineRule="exact"/>
        <w:textAlignment w:val="auto"/>
        <w:rPr>
          <w:rFonts w:hint="default"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5.参考文献</w:t>
      </w:r>
    </w:p>
    <w:p w14:paraId="2E742563">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p>
    <w:sectPr>
      <w:footerReference r:id="rId3" w:type="default"/>
      <w:pgSz w:w="11906" w:h="16838"/>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281045"/>
    </w:sdtPr>
    <w:sdtContent>
      <w:p w14:paraId="3746007E">
        <w:pPr>
          <w:pStyle w:val="6"/>
          <w:jc w:val="center"/>
        </w:pPr>
        <w:r>
          <w:fldChar w:fldCharType="begin"/>
        </w:r>
        <w:r>
          <w:instrText xml:space="preserve">PAGE   \* MERGEFORMAT</w:instrText>
        </w:r>
        <w:r>
          <w:fldChar w:fldCharType="separate"/>
        </w:r>
        <w:r>
          <w:rPr>
            <w:lang w:val="zh-CN"/>
          </w:rPr>
          <w:t>3</w:t>
        </w:r>
        <w:r>
          <w:fldChar w:fldCharType="end"/>
        </w:r>
      </w:p>
    </w:sdtContent>
  </w:sdt>
  <w:p w14:paraId="138DA669">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NjExM2I3OGE0NjgyN2YxMzQ0OTg1NjdhZjQ0MGIifQ=="/>
    <w:docVar w:name="KSO_WPS_MARK_KEY" w:val="f2728311-de19-4dc0-b890-a75c452ea880"/>
  </w:docVars>
  <w:rsids>
    <w:rsidRoot w:val="00026274"/>
    <w:rsid w:val="00003728"/>
    <w:rsid w:val="000144C5"/>
    <w:rsid w:val="00026274"/>
    <w:rsid w:val="00042AA6"/>
    <w:rsid w:val="000573FB"/>
    <w:rsid w:val="00061D3C"/>
    <w:rsid w:val="000814BB"/>
    <w:rsid w:val="000F5FB9"/>
    <w:rsid w:val="00116503"/>
    <w:rsid w:val="001174FF"/>
    <w:rsid w:val="001871C6"/>
    <w:rsid w:val="001D060D"/>
    <w:rsid w:val="001D061F"/>
    <w:rsid w:val="001E4962"/>
    <w:rsid w:val="00200059"/>
    <w:rsid w:val="0021687F"/>
    <w:rsid w:val="00266F6C"/>
    <w:rsid w:val="00272C5F"/>
    <w:rsid w:val="002857E5"/>
    <w:rsid w:val="00292223"/>
    <w:rsid w:val="002C4596"/>
    <w:rsid w:val="002E7F09"/>
    <w:rsid w:val="00325B35"/>
    <w:rsid w:val="00332FC5"/>
    <w:rsid w:val="0036306B"/>
    <w:rsid w:val="003904AD"/>
    <w:rsid w:val="003C4EAE"/>
    <w:rsid w:val="003C7ED6"/>
    <w:rsid w:val="003D26EE"/>
    <w:rsid w:val="00414831"/>
    <w:rsid w:val="00473851"/>
    <w:rsid w:val="00474631"/>
    <w:rsid w:val="004D0AD3"/>
    <w:rsid w:val="004F0F6B"/>
    <w:rsid w:val="00514FD1"/>
    <w:rsid w:val="005159A3"/>
    <w:rsid w:val="005175DE"/>
    <w:rsid w:val="0052049B"/>
    <w:rsid w:val="005F6271"/>
    <w:rsid w:val="00607E9E"/>
    <w:rsid w:val="0061537B"/>
    <w:rsid w:val="00631130"/>
    <w:rsid w:val="00642DB5"/>
    <w:rsid w:val="006C1DA2"/>
    <w:rsid w:val="006D13CA"/>
    <w:rsid w:val="006E307D"/>
    <w:rsid w:val="006F13A1"/>
    <w:rsid w:val="006F4CE3"/>
    <w:rsid w:val="00717CAC"/>
    <w:rsid w:val="007306B9"/>
    <w:rsid w:val="00736629"/>
    <w:rsid w:val="00750220"/>
    <w:rsid w:val="00775F48"/>
    <w:rsid w:val="00785CC0"/>
    <w:rsid w:val="007B2042"/>
    <w:rsid w:val="007D0B4F"/>
    <w:rsid w:val="007D5E1F"/>
    <w:rsid w:val="00857796"/>
    <w:rsid w:val="00877945"/>
    <w:rsid w:val="00930651"/>
    <w:rsid w:val="009C6767"/>
    <w:rsid w:val="00A01155"/>
    <w:rsid w:val="00A362CD"/>
    <w:rsid w:val="00A84B88"/>
    <w:rsid w:val="00B40964"/>
    <w:rsid w:val="00B4729E"/>
    <w:rsid w:val="00B56607"/>
    <w:rsid w:val="00B97E5A"/>
    <w:rsid w:val="00C0003C"/>
    <w:rsid w:val="00C44A7A"/>
    <w:rsid w:val="00C46149"/>
    <w:rsid w:val="00C815D8"/>
    <w:rsid w:val="00C91935"/>
    <w:rsid w:val="00C9403A"/>
    <w:rsid w:val="00CA5D2E"/>
    <w:rsid w:val="00CF2492"/>
    <w:rsid w:val="00D20299"/>
    <w:rsid w:val="00D21495"/>
    <w:rsid w:val="00E30053"/>
    <w:rsid w:val="00E540A1"/>
    <w:rsid w:val="00ED722A"/>
    <w:rsid w:val="00F03441"/>
    <w:rsid w:val="00F309DD"/>
    <w:rsid w:val="00F33DC6"/>
    <w:rsid w:val="00F45D40"/>
    <w:rsid w:val="00F535BE"/>
    <w:rsid w:val="00F53F73"/>
    <w:rsid w:val="00F84CA5"/>
    <w:rsid w:val="00FC1D37"/>
    <w:rsid w:val="00FC42EC"/>
    <w:rsid w:val="00FC49D0"/>
    <w:rsid w:val="00FD4BE9"/>
    <w:rsid w:val="00FD55D8"/>
    <w:rsid w:val="00FE1CF1"/>
    <w:rsid w:val="00FF206C"/>
    <w:rsid w:val="03260EFB"/>
    <w:rsid w:val="040331B5"/>
    <w:rsid w:val="042C425B"/>
    <w:rsid w:val="04EB55CD"/>
    <w:rsid w:val="05803FDA"/>
    <w:rsid w:val="06244E71"/>
    <w:rsid w:val="07EC6998"/>
    <w:rsid w:val="0B161F7E"/>
    <w:rsid w:val="0E0F31AF"/>
    <w:rsid w:val="0E930809"/>
    <w:rsid w:val="0F1C2E5D"/>
    <w:rsid w:val="0F8378B9"/>
    <w:rsid w:val="1090632E"/>
    <w:rsid w:val="11FD1BBA"/>
    <w:rsid w:val="166E754E"/>
    <w:rsid w:val="17747262"/>
    <w:rsid w:val="1B02518E"/>
    <w:rsid w:val="1B6F1962"/>
    <w:rsid w:val="1DA65849"/>
    <w:rsid w:val="1DCB4E4A"/>
    <w:rsid w:val="27365F43"/>
    <w:rsid w:val="29DF01DF"/>
    <w:rsid w:val="2F196353"/>
    <w:rsid w:val="2FA3648F"/>
    <w:rsid w:val="307F5119"/>
    <w:rsid w:val="310729F1"/>
    <w:rsid w:val="359E6C74"/>
    <w:rsid w:val="36DF4670"/>
    <w:rsid w:val="36EB4242"/>
    <w:rsid w:val="376F21F5"/>
    <w:rsid w:val="38A97908"/>
    <w:rsid w:val="3FA01533"/>
    <w:rsid w:val="42330394"/>
    <w:rsid w:val="45B003DA"/>
    <w:rsid w:val="4B23443A"/>
    <w:rsid w:val="4B773EAB"/>
    <w:rsid w:val="4C096B5E"/>
    <w:rsid w:val="4E715322"/>
    <w:rsid w:val="530A54B7"/>
    <w:rsid w:val="53ED796A"/>
    <w:rsid w:val="544E58B1"/>
    <w:rsid w:val="578A0A6B"/>
    <w:rsid w:val="59CB7D7C"/>
    <w:rsid w:val="5B1801BD"/>
    <w:rsid w:val="5B205175"/>
    <w:rsid w:val="5B2D4472"/>
    <w:rsid w:val="5BCA0201"/>
    <w:rsid w:val="5D6567E0"/>
    <w:rsid w:val="5D811538"/>
    <w:rsid w:val="5D97453E"/>
    <w:rsid w:val="60484505"/>
    <w:rsid w:val="60CA681A"/>
    <w:rsid w:val="61A143B3"/>
    <w:rsid w:val="69C51D1A"/>
    <w:rsid w:val="6ADB0681"/>
    <w:rsid w:val="6D970673"/>
    <w:rsid w:val="6FA30B1F"/>
    <w:rsid w:val="6FBD33B2"/>
    <w:rsid w:val="72842E01"/>
    <w:rsid w:val="73092C77"/>
    <w:rsid w:val="73FA53D5"/>
    <w:rsid w:val="76AD15FB"/>
    <w:rsid w:val="77244697"/>
    <w:rsid w:val="777271A3"/>
    <w:rsid w:val="778B5053"/>
    <w:rsid w:val="78B05AE3"/>
    <w:rsid w:val="79124400"/>
    <w:rsid w:val="7AB705DA"/>
    <w:rsid w:val="7B1813C1"/>
    <w:rsid w:val="7C920389"/>
    <w:rsid w:val="7CFE069B"/>
    <w:rsid w:val="7F0B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16"/>
    <w:unhideWhenUsed/>
    <w:qFormat/>
    <w:uiPriority w:val="0"/>
    <w:pPr>
      <w:keepNext/>
      <w:keepLines/>
      <w:spacing w:before="260" w:after="260" w:line="413" w:lineRule="auto"/>
      <w:outlineLvl w:val="1"/>
    </w:pPr>
    <w:rPr>
      <w:rFonts w:ascii="Arial" w:hAnsi="Arial" w:eastAsia="黑体"/>
      <w:b/>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24"/>
      <w:szCs w:val="24"/>
      <w:lang w:val="en-US" w:eastAsia="en-US" w:bidi="ar-SA"/>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styleId="11">
    <w:name w:val="Strong"/>
    <w:basedOn w:val="10"/>
    <w:qFormat/>
    <w:uiPriority w:val="22"/>
    <w:rPr>
      <w:b/>
    </w:rPr>
  </w:style>
  <w:style w:type="paragraph" w:customStyle="1" w:styleId="12">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批注框文本 字符"/>
    <w:basedOn w:val="10"/>
    <w:link w:val="5"/>
    <w:semiHidden/>
    <w:qFormat/>
    <w:uiPriority w:val="99"/>
    <w:rPr>
      <w:kern w:val="2"/>
      <w:sz w:val="18"/>
      <w:szCs w:val="18"/>
    </w:rPr>
  </w:style>
  <w:style w:type="character" w:customStyle="1" w:styleId="16">
    <w:name w:val="标题 2 字符"/>
    <w:basedOn w:val="10"/>
    <w:link w:val="3"/>
    <w:qFormat/>
    <w:uiPriority w:val="0"/>
    <w:rPr>
      <w:rFonts w:ascii="Arial" w:hAnsi="Arial" w:eastAsia="黑体"/>
      <w:b/>
      <w:kern w:val="2"/>
      <w:sz w:val="32"/>
      <w:szCs w:val="24"/>
    </w:rPr>
  </w:style>
  <w:style w:type="paragraph" w:styleId="17">
    <w:name w:val="List Paragraph"/>
    <w:basedOn w:val="1"/>
    <w:qFormat/>
    <w:uiPriority w:val="99"/>
    <w:pPr>
      <w:ind w:firstLine="420" w:firstLineChars="200"/>
    </w:pPr>
  </w:style>
  <w:style w:type="paragraph" w:customStyle="1" w:styleId="18">
    <w:name w:val="普通(网站)1"/>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4221</Words>
  <Characters>4455</Characters>
  <Lines>10</Lines>
  <Paragraphs>2</Paragraphs>
  <TotalTime>10</TotalTime>
  <ScaleCrop>false</ScaleCrop>
  <LinksUpToDate>false</LinksUpToDate>
  <CharactersWithSpaces>4526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2024-03-05T03:28:00Z</dcterms:created>
  <dc:creator>admin</dc:creator>
  <cp:lastModifiedBy>李静</cp:lastModifiedBy>
  <cp:lastPrinted>2025-01-01T10:50:00Z</cp:lastPrinted>
  <dcterms:modified xsi:type="dcterms:W3CDTF">2025-07-03T13:14:37Z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A5BAF6A5B629463B91E87DC30AF6523E_13</vt:lpwstr>
  </property>
  <property fmtid="{D5CDD505-2E9C-101B-9397-08002B2CF9AE}" pid="4" name="KSOTemplateDocerSaveRecord">
    <vt:lpwstr>eyJoZGlkIjoiZjFmZWIzNDg2MmIzZjExOTIzMmViNTBmYTMwYTk0ZWYiLCJ1c2VySWQiOiI0MjU2ODE3NjUifQ==</vt:lpwstr>
  </property>
</Properties>
</file>