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72251A">
      <w:pPr>
        <w:spacing w:before="107" w:line="224" w:lineRule="auto"/>
        <w:rPr>
          <w:rFonts w:hint="eastAsia" w:ascii="华文中宋" w:hAnsi="华文中宋" w:eastAsia="华文中宋" w:cs="华文中宋"/>
          <w:sz w:val="33"/>
          <w:szCs w:val="33"/>
        </w:rPr>
      </w:pPr>
      <w:r>
        <w:rPr>
          <w:rFonts w:hint="eastAsia" w:ascii="华文中宋" w:hAnsi="华文中宋" w:eastAsia="华文中宋" w:cs="华文中宋"/>
          <w:b/>
          <w:bCs/>
          <w:spacing w:val="4"/>
          <w:sz w:val="33"/>
          <w:szCs w:val="33"/>
        </w:rPr>
        <w:t>附件</w:t>
      </w:r>
    </w:p>
    <w:p w14:paraId="326BC0AF">
      <w:pPr>
        <w:spacing w:line="254" w:lineRule="auto"/>
        <w:rPr>
          <w:rFonts w:hint="eastAsia" w:ascii="华文中宋" w:hAnsi="华文中宋" w:eastAsia="华文中宋" w:cs="华文中宋"/>
          <w:sz w:val="21"/>
        </w:rPr>
      </w:pPr>
    </w:p>
    <w:p w14:paraId="65199148">
      <w:pPr>
        <w:pStyle w:val="2"/>
        <w:spacing w:before="140" w:line="219" w:lineRule="auto"/>
        <w:jc w:val="center"/>
        <w:rPr>
          <w:rFonts w:hint="eastAsia" w:ascii="华文中宋" w:hAnsi="华文中宋" w:eastAsia="华文中宋" w:cs="华文中宋"/>
          <w:b/>
          <w:bCs/>
          <w:spacing w:val="-16"/>
          <w:sz w:val="42"/>
          <w:szCs w:val="42"/>
        </w:rPr>
      </w:pPr>
      <w:r>
        <w:rPr>
          <w:rFonts w:hint="eastAsia" w:ascii="华文中宋" w:hAnsi="华文中宋" w:eastAsia="华文中宋" w:cs="华文中宋"/>
          <w:b/>
          <w:bCs/>
          <w:spacing w:val="-16"/>
          <w:sz w:val="42"/>
          <w:szCs w:val="42"/>
        </w:rPr>
        <w:t>广东省医师协会耳鼻咽喉科医师分会</w:t>
      </w:r>
    </w:p>
    <w:p w14:paraId="7AB1BAD8">
      <w:pPr>
        <w:pStyle w:val="2"/>
        <w:spacing w:before="140" w:line="219" w:lineRule="auto"/>
        <w:jc w:val="center"/>
        <w:rPr>
          <w:rFonts w:hint="default" w:ascii="华文中宋" w:hAnsi="华文中宋" w:eastAsia="华文中宋" w:cs="华文中宋"/>
          <w:b/>
          <w:bCs/>
          <w:spacing w:val="-16"/>
          <w:sz w:val="42"/>
          <w:szCs w:val="42"/>
          <w:lang w:val="en-US" w:eastAsia="zh-CN"/>
        </w:rPr>
      </w:pPr>
      <w:r>
        <w:rPr>
          <w:rFonts w:hint="eastAsia" w:ascii="华文中宋" w:hAnsi="华文中宋" w:eastAsia="华文中宋" w:cs="华文中宋"/>
          <w:b/>
          <w:bCs/>
          <w:spacing w:val="-16"/>
          <w:sz w:val="42"/>
          <w:szCs w:val="42"/>
        </w:rPr>
        <w:t>第</w:t>
      </w:r>
      <w:r>
        <w:rPr>
          <w:rFonts w:hint="eastAsia" w:ascii="华文中宋" w:hAnsi="华文中宋" w:eastAsia="华文中宋" w:cs="华文中宋"/>
          <w:b/>
          <w:bCs/>
          <w:spacing w:val="-16"/>
          <w:sz w:val="42"/>
          <w:szCs w:val="42"/>
          <w:lang w:val="en-US" w:eastAsia="zh-CN"/>
        </w:rPr>
        <w:t>七</w:t>
      </w:r>
      <w:r>
        <w:rPr>
          <w:rFonts w:hint="eastAsia" w:ascii="华文中宋" w:hAnsi="华文中宋" w:eastAsia="华文中宋" w:cs="华文中宋"/>
          <w:b/>
          <w:bCs/>
          <w:spacing w:val="-16"/>
          <w:sz w:val="42"/>
          <w:szCs w:val="42"/>
        </w:rPr>
        <w:t>届耳鼻咽喉科住培医师临床技能竞赛</w:t>
      </w:r>
      <w:r>
        <w:rPr>
          <w:rFonts w:hint="eastAsia" w:ascii="华文中宋" w:hAnsi="华文中宋" w:eastAsia="华文中宋" w:cs="华文中宋"/>
          <w:b/>
          <w:bCs/>
          <w:spacing w:val="-16"/>
          <w:sz w:val="42"/>
          <w:szCs w:val="42"/>
          <w:lang w:val="en-US" w:eastAsia="zh-CN"/>
        </w:rPr>
        <w:t>决赛方案</w:t>
      </w:r>
    </w:p>
    <w:p w14:paraId="13D7E583">
      <w:pPr>
        <w:pStyle w:val="2"/>
        <w:spacing w:before="140" w:line="219" w:lineRule="auto"/>
        <w:jc w:val="center"/>
        <w:rPr>
          <w:rFonts w:hint="eastAsia" w:ascii="华文中宋" w:hAnsi="华文中宋" w:eastAsia="华文中宋" w:cs="华文中宋"/>
          <w:b/>
          <w:bCs/>
          <w:spacing w:val="-16"/>
          <w:sz w:val="42"/>
          <w:szCs w:val="42"/>
          <w:lang w:val="en-US" w:eastAsia="zh-CN"/>
        </w:rPr>
      </w:pPr>
    </w:p>
    <w:p w14:paraId="3C99ED49">
      <w:pPr>
        <w:numPr>
          <w:ilvl w:val="0"/>
          <w:numId w:val="0"/>
        </w:numPr>
        <w:spacing w:before="160" w:line="221" w:lineRule="auto"/>
        <w:outlineLvl w:val="0"/>
        <w:rPr>
          <w:rFonts w:hint="eastAsia" w:ascii="华文中宋" w:hAnsi="华文中宋" w:eastAsia="华文中宋" w:cs="华文中宋"/>
          <w:b/>
          <w:bCs/>
          <w:spacing w:val="-8"/>
          <w:sz w:val="32"/>
          <w:szCs w:val="32"/>
          <w:lang w:val="en-US" w:eastAsia="en-US"/>
        </w:rPr>
      </w:pPr>
      <w:r>
        <w:rPr>
          <w:rFonts w:hint="eastAsia" w:ascii="华文中宋" w:hAnsi="华文中宋" w:eastAsia="华文中宋" w:cs="华文中宋"/>
          <w:b/>
          <w:bCs/>
          <w:snapToGrid w:val="0"/>
          <w:color w:val="000000"/>
          <w:spacing w:val="-8"/>
          <w:kern w:val="0"/>
          <w:sz w:val="32"/>
          <w:szCs w:val="32"/>
          <w:lang w:val="en-US" w:eastAsia="en-US" w:bidi="ar-SA"/>
        </w:rPr>
        <w:t>一、</w:t>
      </w:r>
      <w:r>
        <w:rPr>
          <w:rFonts w:hint="eastAsia" w:ascii="华文中宋" w:hAnsi="华文中宋" w:eastAsia="华文中宋" w:cs="华文中宋"/>
          <w:b/>
          <w:bCs/>
          <w:spacing w:val="-8"/>
          <w:sz w:val="32"/>
          <w:szCs w:val="32"/>
          <w:lang w:val="en-US" w:eastAsia="en-US"/>
        </w:rPr>
        <w:t>竞赛内容</w:t>
      </w:r>
    </w:p>
    <w:p w14:paraId="4867EB30">
      <w:pPr>
        <w:spacing w:before="172" w:line="323" w:lineRule="auto"/>
        <w:ind w:right="4" w:firstLine="620" w:firstLineChars="200"/>
        <w:jc w:val="both"/>
        <w:rPr>
          <w:rFonts w:hint="eastAsia" w:ascii="方正楷体_GB2312" w:hAnsi="方正楷体_GB2312" w:eastAsia="方正楷体_GB2312" w:cs="方正楷体_GB2312"/>
          <w:spacing w:val="-5"/>
          <w:sz w:val="32"/>
          <w:szCs w:val="32"/>
        </w:rPr>
      </w:pPr>
      <w:r>
        <w:rPr>
          <w:rFonts w:hint="eastAsia" w:ascii="方正楷体_GB2312" w:hAnsi="方正楷体_GB2312" w:eastAsia="方正楷体_GB2312" w:cs="方正楷体_GB2312"/>
          <w:b w:val="0"/>
          <w:bCs w:val="0"/>
          <w:spacing w:val="-5"/>
          <w:sz w:val="32"/>
          <w:szCs w:val="32"/>
          <w:lang w:val="en-US" w:eastAsia="zh-CN"/>
        </w:rPr>
        <w:t>本次临</w:t>
      </w:r>
      <w:r>
        <w:rPr>
          <w:rFonts w:hint="eastAsia" w:ascii="方正楷体_GB2312" w:hAnsi="方正楷体_GB2312" w:eastAsia="方正楷体_GB2312" w:cs="方正楷体_GB2312"/>
          <w:b w:val="0"/>
          <w:bCs w:val="0"/>
          <w:spacing w:val="-5"/>
          <w:sz w:val="32"/>
          <w:szCs w:val="32"/>
        </w:rPr>
        <w:t>床</w:t>
      </w:r>
      <w:r>
        <w:rPr>
          <w:rFonts w:hint="eastAsia" w:ascii="方正楷体_GB2312" w:hAnsi="方正楷体_GB2312" w:eastAsia="方正楷体_GB2312" w:cs="方正楷体_GB2312"/>
          <w:b w:val="0"/>
          <w:bCs w:val="0"/>
          <w:spacing w:val="-5"/>
          <w:sz w:val="32"/>
          <w:szCs w:val="32"/>
          <w:lang w:val="en-US" w:eastAsia="zh-CN"/>
        </w:rPr>
        <w:t>技能决赛由2</w:t>
      </w:r>
      <w:r>
        <w:rPr>
          <w:rFonts w:hint="eastAsia" w:ascii="方正楷体_GB2312" w:hAnsi="方正楷体_GB2312" w:eastAsia="方正楷体_GB2312" w:cs="方正楷体_GB2312"/>
          <w:b w:val="0"/>
          <w:bCs w:val="0"/>
          <w:spacing w:val="-5"/>
          <w:sz w:val="32"/>
          <w:szCs w:val="32"/>
        </w:rPr>
        <w:t>个板块</w:t>
      </w:r>
      <w:r>
        <w:rPr>
          <w:rFonts w:hint="eastAsia" w:ascii="方正楷体_GB2312" w:hAnsi="方正楷体_GB2312" w:eastAsia="方正楷体_GB2312" w:cs="方正楷体_GB2312"/>
          <w:b w:val="0"/>
          <w:bCs w:val="0"/>
          <w:spacing w:val="-5"/>
          <w:sz w:val="32"/>
          <w:szCs w:val="32"/>
          <w:lang w:val="en-US" w:eastAsia="zh-CN"/>
        </w:rPr>
        <w:t>组成</w:t>
      </w:r>
      <w:r>
        <w:rPr>
          <w:rFonts w:hint="eastAsia" w:ascii="方正楷体_GB2312" w:hAnsi="方正楷体_GB2312" w:eastAsia="方正楷体_GB2312" w:cs="方正楷体_GB2312"/>
          <w:b w:val="0"/>
          <w:bCs w:val="0"/>
          <w:spacing w:val="-5"/>
          <w:sz w:val="32"/>
          <w:szCs w:val="32"/>
        </w:rPr>
        <w:t>：</w:t>
      </w:r>
    </w:p>
    <w:p w14:paraId="32DF941F">
      <w:pPr>
        <w:spacing w:before="172" w:line="323" w:lineRule="auto"/>
        <w:ind w:right="4" w:firstLine="623" w:firstLineChars="200"/>
        <w:jc w:val="both"/>
        <w:rPr>
          <w:rFonts w:hint="eastAsia" w:ascii="方正楷体_GB2312" w:hAnsi="方正楷体_GB2312" w:eastAsia="方正楷体_GB2312" w:cs="方正楷体_GB2312"/>
          <w:spacing w:val="-5"/>
          <w:sz w:val="32"/>
          <w:szCs w:val="32"/>
          <w:lang w:val="en-US" w:eastAsia="zh-CN"/>
        </w:rPr>
      </w:pPr>
      <w:r>
        <w:rPr>
          <w:rFonts w:hint="eastAsia" w:ascii="方正楷体_GB2312" w:hAnsi="方正楷体_GB2312" w:eastAsia="方正楷体_GB2312" w:cs="方正楷体_GB2312"/>
          <w:b/>
          <w:bCs/>
          <w:spacing w:val="-5"/>
          <w:sz w:val="32"/>
          <w:szCs w:val="32"/>
          <w:lang w:val="en-US" w:eastAsia="zh-CN"/>
        </w:rPr>
        <w:t>板块一、理论知识竞赛：</w:t>
      </w:r>
      <w:r>
        <w:rPr>
          <w:rFonts w:hint="eastAsia" w:ascii="方正楷体_GB2312" w:hAnsi="方正楷体_GB2312" w:eastAsia="方正楷体_GB2312" w:cs="方正楷体_GB2312"/>
          <w:spacing w:val="-5"/>
          <w:sz w:val="32"/>
          <w:szCs w:val="32"/>
          <w:lang w:val="en-US" w:eastAsia="zh-CN"/>
        </w:rPr>
        <w:t>考核耳鼻咽喉科基础理论知识。内容范围：人民卫生出版社出版的2024版全国卫生专业技术资格指导书目《耳鼻咽喉科学同步习题与全真模拟》和《耳鼻咽喉科学》。</w:t>
      </w:r>
    </w:p>
    <w:p w14:paraId="73A8D2EC">
      <w:pPr>
        <w:spacing w:before="172" w:line="323" w:lineRule="auto"/>
        <w:ind w:right="4" w:firstLine="623" w:firstLineChars="200"/>
        <w:jc w:val="both"/>
        <w:rPr>
          <w:rFonts w:hint="eastAsia" w:ascii="方正楷体_GB2312" w:hAnsi="方正楷体_GB2312" w:eastAsia="方正楷体_GB2312" w:cs="方正楷体_GB2312"/>
          <w:color w:val="FF0000"/>
          <w:spacing w:val="-5"/>
          <w:sz w:val="32"/>
          <w:szCs w:val="32"/>
          <w:lang w:val="en-US" w:eastAsia="zh-CN"/>
        </w:rPr>
      </w:pPr>
      <w:r>
        <w:rPr>
          <w:rFonts w:hint="eastAsia" w:ascii="方正楷体_GB2312" w:hAnsi="方正楷体_GB2312" w:eastAsia="方正楷体_GB2312" w:cs="方正楷体_GB2312"/>
          <w:b/>
          <w:bCs/>
          <w:spacing w:val="-5"/>
          <w:sz w:val="32"/>
          <w:szCs w:val="32"/>
          <w:lang w:val="en-US" w:eastAsia="zh-CN"/>
        </w:rPr>
        <w:t>板块二、基本</w:t>
      </w:r>
      <w:r>
        <w:rPr>
          <w:rFonts w:hint="eastAsia" w:ascii="方正楷体_GB2312" w:hAnsi="方正楷体_GB2312" w:eastAsia="方正楷体_GB2312" w:cs="方正楷体_GB2312"/>
          <w:b/>
          <w:bCs/>
          <w:spacing w:val="-5"/>
          <w:sz w:val="32"/>
          <w:szCs w:val="32"/>
          <w:highlight w:val="none"/>
          <w:lang w:val="en-US" w:eastAsia="zh-CN"/>
        </w:rPr>
        <w:t>技能竞赛：</w:t>
      </w:r>
      <w:r>
        <w:rPr>
          <w:rFonts w:hint="eastAsia" w:ascii="方正楷体_GB2312" w:hAnsi="方正楷体_GB2312" w:eastAsia="方正楷体_GB2312" w:cs="方正楷体_GB2312"/>
          <w:color w:val="auto"/>
          <w:spacing w:val="-5"/>
          <w:sz w:val="32"/>
          <w:szCs w:val="32"/>
          <w:highlight w:val="none"/>
          <w:lang w:val="en-US" w:eastAsia="zh-CN"/>
        </w:rPr>
        <w:t>①内镜检查（电子鼻咽喉镜、硬性耳内镜、硬性鼻内镜）；②异物取出（咽喉或耳道）；③前鼻孔填塞；④气管切开；⑤外伤缝合站；⑥外耳道冲洗；⑦鼻骨骨折复位；⑧心肺复苏。</w:t>
      </w:r>
    </w:p>
    <w:p w14:paraId="26E049DD">
      <w:pPr>
        <w:numPr>
          <w:ilvl w:val="0"/>
          <w:numId w:val="0"/>
        </w:numPr>
        <w:spacing w:before="160" w:line="221" w:lineRule="auto"/>
        <w:outlineLvl w:val="0"/>
        <w:rPr>
          <w:rFonts w:hint="eastAsia" w:ascii="华文中宋" w:hAnsi="华文中宋" w:eastAsia="华文中宋" w:cs="华文中宋"/>
          <w:b/>
          <w:bCs/>
          <w:spacing w:val="-8"/>
          <w:sz w:val="32"/>
          <w:szCs w:val="32"/>
          <w:lang w:val="en-US" w:eastAsia="zh-CN"/>
        </w:rPr>
      </w:pPr>
      <w:r>
        <w:rPr>
          <w:rFonts w:hint="eastAsia" w:ascii="华文中宋" w:hAnsi="华文中宋" w:eastAsia="华文中宋" w:cs="华文中宋"/>
          <w:b/>
          <w:bCs/>
          <w:snapToGrid w:val="0"/>
          <w:color w:val="000000"/>
          <w:spacing w:val="-8"/>
          <w:kern w:val="0"/>
          <w:sz w:val="32"/>
          <w:szCs w:val="32"/>
          <w:lang w:val="en-US" w:eastAsia="zh-CN" w:bidi="ar-SA"/>
        </w:rPr>
        <w:t>二、</w:t>
      </w:r>
      <w:r>
        <w:rPr>
          <w:rFonts w:hint="eastAsia" w:ascii="华文中宋" w:hAnsi="华文中宋" w:eastAsia="华文中宋" w:cs="华文中宋"/>
          <w:b/>
          <w:bCs/>
          <w:spacing w:val="-8"/>
          <w:sz w:val="32"/>
          <w:szCs w:val="32"/>
          <w:lang w:val="en-US" w:eastAsia="zh-CN"/>
        </w:rPr>
        <w:t>竞赛形式</w:t>
      </w:r>
    </w:p>
    <w:p w14:paraId="28D6C63F">
      <w:pPr>
        <w:numPr>
          <w:ilvl w:val="0"/>
          <w:numId w:val="0"/>
        </w:numPr>
        <w:spacing w:before="172" w:line="323" w:lineRule="auto"/>
        <w:ind w:right="4" w:rightChars="0"/>
        <w:jc w:val="both"/>
        <w:rPr>
          <w:rFonts w:hint="eastAsia" w:ascii="方正楷体_GB2312" w:hAnsi="方正楷体_GB2312" w:eastAsia="方正楷体_GB2312" w:cs="方正楷体_GB2312"/>
          <w:b w:val="0"/>
          <w:bCs w:val="0"/>
          <w:spacing w:val="-5"/>
          <w:sz w:val="32"/>
          <w:szCs w:val="32"/>
          <w:highlight w:val="none"/>
          <w:lang w:val="en-US" w:eastAsia="zh-CN"/>
        </w:rPr>
      </w:pPr>
      <w:r>
        <w:rPr>
          <w:rFonts w:hint="eastAsia" w:ascii="方正楷体_GB2312" w:hAnsi="方正楷体_GB2312" w:eastAsia="方正楷体_GB2312" w:cs="方正楷体_GB2312"/>
          <w:b/>
          <w:bCs/>
          <w:snapToGrid w:val="0"/>
          <w:color w:val="000000"/>
          <w:spacing w:val="-5"/>
          <w:kern w:val="0"/>
          <w:sz w:val="32"/>
          <w:szCs w:val="32"/>
          <w:highlight w:val="none"/>
          <w:lang w:val="en-US" w:eastAsia="zh-CN" w:bidi="ar-SA"/>
        </w:rPr>
        <w:t>1、</w:t>
      </w:r>
      <w:r>
        <w:rPr>
          <w:rFonts w:hint="eastAsia" w:ascii="方正楷体_GB2312" w:hAnsi="方正楷体_GB2312" w:eastAsia="方正楷体_GB2312" w:cs="方正楷体_GB2312"/>
          <w:b/>
          <w:bCs/>
          <w:spacing w:val="-5"/>
          <w:sz w:val="32"/>
          <w:szCs w:val="32"/>
          <w:highlight w:val="none"/>
          <w:lang w:val="en-US" w:eastAsia="zh-CN"/>
        </w:rPr>
        <w:t>理论知识竞赛</w:t>
      </w:r>
      <w:r>
        <w:rPr>
          <w:rFonts w:hint="eastAsia" w:ascii="方正楷体_GB2312" w:hAnsi="方正楷体_GB2312" w:eastAsia="方正楷体_GB2312" w:cs="方正楷体_GB2312"/>
          <w:b w:val="0"/>
          <w:bCs w:val="0"/>
          <w:spacing w:val="-5"/>
          <w:sz w:val="32"/>
          <w:szCs w:val="32"/>
          <w:highlight w:val="none"/>
          <w:lang w:val="en-US" w:eastAsia="zh-CN"/>
        </w:rPr>
        <w:t>（2026.08.29下午14:00-15:40，预计100分钟，地点:深圳市龙岗区耳鼻咽喉医院科教楼3楼学术报告厅）</w:t>
      </w:r>
    </w:p>
    <w:p w14:paraId="35004069">
      <w:pPr>
        <w:numPr>
          <w:ilvl w:val="0"/>
          <w:numId w:val="0"/>
        </w:numPr>
        <w:kinsoku w:val="0"/>
        <w:autoSpaceDE w:val="0"/>
        <w:autoSpaceDN w:val="0"/>
        <w:adjustRightInd w:val="0"/>
        <w:snapToGrid w:val="0"/>
        <w:spacing w:before="172" w:line="323" w:lineRule="auto"/>
        <w:ind w:right="4" w:rightChars="0"/>
        <w:jc w:val="both"/>
        <w:textAlignment w:val="baseline"/>
        <w:rPr>
          <w:rFonts w:hint="eastAsia" w:ascii="方正楷体_GB2312" w:hAnsi="方正楷体_GB2312" w:eastAsia="方正楷体_GB2312" w:cs="方正楷体_GB2312"/>
          <w:b/>
          <w:bCs/>
          <w:spacing w:val="-5"/>
          <w:sz w:val="32"/>
          <w:szCs w:val="32"/>
          <w:lang w:val="en-US" w:eastAsia="zh-CN"/>
        </w:rPr>
      </w:pPr>
      <w:r>
        <w:rPr>
          <w:rFonts w:hint="eastAsia" w:ascii="方正楷体_GB2312" w:hAnsi="方正楷体_GB2312" w:eastAsia="方正楷体_GB2312" w:cs="方正楷体_GB2312"/>
          <w:b/>
          <w:bCs/>
          <w:spacing w:val="-5"/>
          <w:sz w:val="32"/>
          <w:szCs w:val="32"/>
          <w:lang w:val="en-US" w:eastAsia="zh-CN"/>
        </w:rPr>
        <w:t>①、分两场进行：</w:t>
      </w:r>
    </w:p>
    <w:p w14:paraId="6FD56B5A">
      <w:pPr>
        <w:numPr>
          <w:ilvl w:val="0"/>
          <w:numId w:val="0"/>
        </w:numPr>
        <w:kinsoku w:val="0"/>
        <w:autoSpaceDE w:val="0"/>
        <w:autoSpaceDN w:val="0"/>
        <w:adjustRightInd w:val="0"/>
        <w:snapToGrid w:val="0"/>
        <w:spacing w:before="172" w:line="323" w:lineRule="auto"/>
        <w:ind w:right="4" w:rightChars="0" w:firstLine="620" w:firstLineChars="200"/>
        <w:jc w:val="both"/>
        <w:textAlignment w:val="baseline"/>
        <w:rPr>
          <w:rFonts w:hint="eastAsia" w:ascii="方正楷体_GB2312" w:hAnsi="方正楷体_GB2312" w:eastAsia="方正楷体_GB2312" w:cs="方正楷体_GB2312"/>
          <w:spacing w:val="-5"/>
          <w:sz w:val="32"/>
          <w:szCs w:val="32"/>
          <w:lang w:val="en-US" w:eastAsia="zh-CN"/>
        </w:rPr>
      </w:pPr>
      <w:r>
        <w:rPr>
          <w:rFonts w:hint="eastAsia" w:ascii="方正楷体_GB2312" w:hAnsi="方正楷体_GB2312" w:eastAsia="方正楷体_GB2312" w:cs="方正楷体_GB2312"/>
          <w:spacing w:val="-5"/>
          <w:sz w:val="32"/>
          <w:szCs w:val="32"/>
          <w:lang w:val="en-US" w:eastAsia="zh-CN"/>
        </w:rPr>
        <w:t>第一场1-5号队，第二场6-10号队，每队3人均需参赛，看屏幕作答以及抢答，均为选择题，考题包含中英文，影像读片，听力解析，内镜图析等。</w:t>
      </w:r>
    </w:p>
    <w:p w14:paraId="59F2BADF">
      <w:pPr>
        <w:numPr>
          <w:ilvl w:val="0"/>
          <w:numId w:val="0"/>
        </w:numPr>
        <w:kinsoku w:val="0"/>
        <w:autoSpaceDE w:val="0"/>
        <w:autoSpaceDN w:val="0"/>
        <w:adjustRightInd w:val="0"/>
        <w:snapToGrid w:val="0"/>
        <w:spacing w:before="172" w:line="323" w:lineRule="auto"/>
        <w:ind w:right="4" w:rightChars="0"/>
        <w:jc w:val="both"/>
        <w:textAlignment w:val="baseline"/>
        <w:rPr>
          <w:rFonts w:hint="default" w:ascii="方正楷体_GB2312" w:hAnsi="方正楷体_GB2312" w:eastAsia="方正楷体_GB2312" w:cs="方正楷体_GB2312"/>
          <w:b/>
          <w:bCs/>
          <w:spacing w:val="-5"/>
          <w:sz w:val="32"/>
          <w:szCs w:val="32"/>
          <w:lang w:val="en-US" w:eastAsia="zh-CN"/>
        </w:rPr>
      </w:pPr>
      <w:r>
        <w:rPr>
          <w:rFonts w:hint="eastAsia" w:ascii="方正楷体_GB2312" w:hAnsi="方正楷体_GB2312" w:eastAsia="方正楷体_GB2312" w:cs="方正楷体_GB2312"/>
          <w:b/>
          <w:bCs/>
          <w:spacing w:val="-5"/>
          <w:sz w:val="32"/>
          <w:szCs w:val="32"/>
          <w:lang w:val="en-US" w:eastAsia="zh-CN"/>
        </w:rPr>
        <w:t>②、共两轮回</w:t>
      </w:r>
    </w:p>
    <w:p w14:paraId="73C288FA">
      <w:pPr>
        <w:numPr>
          <w:ilvl w:val="0"/>
          <w:numId w:val="0"/>
        </w:numPr>
        <w:kinsoku w:val="0"/>
        <w:autoSpaceDE w:val="0"/>
        <w:autoSpaceDN w:val="0"/>
        <w:adjustRightInd w:val="0"/>
        <w:snapToGrid w:val="0"/>
        <w:spacing w:before="172" w:line="323" w:lineRule="auto"/>
        <w:ind w:right="4" w:rightChars="0" w:firstLine="620" w:firstLineChars="200"/>
        <w:jc w:val="both"/>
        <w:textAlignment w:val="baseline"/>
        <w:rPr>
          <w:rFonts w:hint="eastAsia" w:ascii="方正楷体_GB2312" w:hAnsi="方正楷体_GB2312" w:eastAsia="方正楷体_GB2312" w:cs="方正楷体_GB2312"/>
          <w:spacing w:val="-5"/>
          <w:sz w:val="32"/>
          <w:szCs w:val="32"/>
          <w:lang w:val="en-US" w:eastAsia="zh-CN"/>
        </w:rPr>
      </w:pPr>
      <w:r>
        <w:rPr>
          <w:rFonts w:hint="eastAsia" w:ascii="方正楷体_GB2312" w:hAnsi="方正楷体_GB2312" w:eastAsia="方正楷体_GB2312" w:cs="方正楷体_GB2312"/>
          <w:spacing w:val="-5"/>
          <w:sz w:val="32"/>
          <w:szCs w:val="32"/>
          <w:lang w:val="en-US" w:eastAsia="zh-CN"/>
        </w:rPr>
        <w:t>第1轮为必答题：每组1题，每题10分，每人必答一题，答对得分，答错不扣分。按照1-5号队的顺序，自由选择题目序号，每个序号对应1套题，每套题共有3道选择题，A、B、C三位选手需依次作答，不许相互提示，每道答题时间30秒，超时按错误计算。1号队完成整套题目后，2号队选择题目并作答，以此类推进行。</w:t>
      </w:r>
    </w:p>
    <w:p w14:paraId="0AAB18BC">
      <w:pPr>
        <w:numPr>
          <w:ilvl w:val="0"/>
          <w:numId w:val="0"/>
        </w:numPr>
        <w:kinsoku w:val="0"/>
        <w:autoSpaceDE w:val="0"/>
        <w:autoSpaceDN w:val="0"/>
        <w:adjustRightInd w:val="0"/>
        <w:snapToGrid w:val="0"/>
        <w:spacing w:before="172" w:line="323" w:lineRule="auto"/>
        <w:ind w:right="4" w:rightChars="0" w:firstLine="620" w:firstLineChars="200"/>
        <w:jc w:val="both"/>
        <w:textAlignment w:val="baseline"/>
        <w:rPr>
          <w:rFonts w:hint="eastAsia" w:ascii="方正楷体_GB2312" w:hAnsi="方正楷体_GB2312" w:eastAsia="方正楷体_GB2312" w:cs="方正楷体_GB2312"/>
          <w:spacing w:val="-5"/>
          <w:sz w:val="32"/>
          <w:szCs w:val="32"/>
          <w:lang w:val="en-US" w:eastAsia="zh-CN"/>
        </w:rPr>
      </w:pPr>
      <w:r>
        <w:rPr>
          <w:rFonts w:hint="eastAsia" w:ascii="方正楷体_GB2312" w:hAnsi="方正楷体_GB2312" w:eastAsia="方正楷体_GB2312" w:cs="方正楷体_GB2312"/>
          <w:spacing w:val="-5"/>
          <w:sz w:val="32"/>
          <w:szCs w:val="32"/>
          <w:lang w:val="en-US" w:eastAsia="zh-CN"/>
        </w:rPr>
        <w:t>第2轮为抢答题：比赛开始前会有一次抢答环节演示。各单位参赛队员均能参加抢答，每题10分，共20题，答对得分，答错扣相应分数。主持人读完题目后，听到抢答提示音“3-2-1滴”，滴声后方可抢答。抢答环节以队为单位，队员间可相互提示，每道答题时间30秒，超时按错误计算。</w:t>
      </w:r>
    </w:p>
    <w:p w14:paraId="2B581F7D">
      <w:pPr>
        <w:numPr>
          <w:ilvl w:val="0"/>
          <w:numId w:val="0"/>
        </w:numPr>
        <w:kinsoku w:val="0"/>
        <w:autoSpaceDE w:val="0"/>
        <w:autoSpaceDN w:val="0"/>
        <w:adjustRightInd w:val="0"/>
        <w:snapToGrid w:val="0"/>
        <w:spacing w:before="172" w:line="323" w:lineRule="auto"/>
        <w:ind w:right="4" w:rightChars="0"/>
        <w:jc w:val="both"/>
        <w:textAlignment w:val="baseline"/>
        <w:rPr>
          <w:rFonts w:hint="eastAsia" w:ascii="方正楷体_GB2312" w:hAnsi="方正楷体_GB2312" w:eastAsia="方正楷体_GB2312" w:cs="方正楷体_GB2312"/>
          <w:spacing w:val="-5"/>
          <w:sz w:val="32"/>
          <w:szCs w:val="32"/>
          <w:lang w:val="en-US" w:eastAsia="zh-CN"/>
        </w:rPr>
      </w:pPr>
      <w:r>
        <w:rPr>
          <w:rFonts w:hint="eastAsia" w:ascii="方正楷体_GB2312" w:hAnsi="方正楷体_GB2312" w:eastAsia="方正楷体_GB2312" w:cs="方正楷体_GB2312"/>
          <w:b/>
          <w:bCs/>
          <w:spacing w:val="-5"/>
          <w:sz w:val="32"/>
          <w:szCs w:val="32"/>
          <w:lang w:val="en-US" w:eastAsia="zh-CN"/>
        </w:rPr>
        <w:t>③、各组基础分200分。</w:t>
      </w:r>
    </w:p>
    <w:p w14:paraId="3FD6120F">
      <w:pPr>
        <w:numPr>
          <w:ilvl w:val="0"/>
          <w:numId w:val="0"/>
        </w:numPr>
        <w:kinsoku w:val="0"/>
        <w:autoSpaceDE w:val="0"/>
        <w:autoSpaceDN w:val="0"/>
        <w:adjustRightInd w:val="0"/>
        <w:snapToGrid w:val="0"/>
        <w:spacing w:before="172" w:line="323" w:lineRule="auto"/>
        <w:ind w:right="4" w:rightChars="0"/>
        <w:jc w:val="both"/>
        <w:textAlignment w:val="baseline"/>
        <w:rPr>
          <w:rFonts w:hint="eastAsia" w:ascii="方正楷体_GB2312" w:hAnsi="方正楷体_GB2312" w:eastAsia="方正楷体_GB2312" w:cs="方正楷体_GB2312"/>
          <w:b/>
          <w:bCs/>
          <w:spacing w:val="-5"/>
          <w:sz w:val="32"/>
          <w:szCs w:val="32"/>
          <w:highlight w:val="none"/>
          <w:lang w:val="en-US" w:eastAsia="zh-CN"/>
        </w:rPr>
      </w:pPr>
    </w:p>
    <w:p w14:paraId="3F92DD6E">
      <w:pPr>
        <w:numPr>
          <w:ilvl w:val="0"/>
          <w:numId w:val="0"/>
        </w:numPr>
        <w:kinsoku w:val="0"/>
        <w:autoSpaceDE w:val="0"/>
        <w:autoSpaceDN w:val="0"/>
        <w:adjustRightInd w:val="0"/>
        <w:snapToGrid w:val="0"/>
        <w:spacing w:before="172" w:line="323" w:lineRule="auto"/>
        <w:ind w:right="4" w:rightChars="0"/>
        <w:jc w:val="both"/>
        <w:textAlignment w:val="baseline"/>
        <w:rPr>
          <w:rFonts w:hint="eastAsia" w:ascii="方正楷体_GB2312" w:hAnsi="方正楷体_GB2312" w:eastAsia="方正楷体_GB2312" w:cs="方正楷体_GB2312"/>
          <w:b w:val="0"/>
          <w:bCs w:val="0"/>
          <w:spacing w:val="-5"/>
          <w:sz w:val="32"/>
          <w:szCs w:val="32"/>
          <w:highlight w:val="none"/>
          <w:lang w:val="en-US" w:eastAsia="zh-CN"/>
        </w:rPr>
      </w:pPr>
      <w:r>
        <w:rPr>
          <w:rFonts w:hint="eastAsia" w:ascii="方正楷体_GB2312" w:hAnsi="方正楷体_GB2312" w:eastAsia="方正楷体_GB2312" w:cs="方正楷体_GB2312"/>
          <w:b/>
          <w:bCs/>
          <w:spacing w:val="-5"/>
          <w:sz w:val="32"/>
          <w:szCs w:val="32"/>
          <w:highlight w:val="none"/>
          <w:lang w:val="en-US" w:eastAsia="zh-CN"/>
        </w:rPr>
        <w:t>2、基本技能竞赛</w:t>
      </w:r>
      <w:r>
        <w:rPr>
          <w:rFonts w:hint="eastAsia" w:ascii="方正楷体_GB2312" w:hAnsi="方正楷体_GB2312" w:eastAsia="方正楷体_GB2312" w:cs="方正楷体_GB2312"/>
          <w:b w:val="0"/>
          <w:bCs w:val="0"/>
          <w:spacing w:val="-5"/>
          <w:sz w:val="32"/>
          <w:szCs w:val="32"/>
          <w:highlight w:val="none"/>
          <w:lang w:val="en-US" w:eastAsia="zh-CN"/>
        </w:rPr>
        <w:t>（2026.08.29下午15:40-17:00，预计80分钟，地点:深圳市龙岗区耳鼻咽喉医院科教楼）</w:t>
      </w:r>
    </w:p>
    <w:p w14:paraId="3655C323">
      <w:pPr>
        <w:spacing w:before="172" w:line="323" w:lineRule="auto"/>
        <w:ind w:right="4" w:firstLine="650"/>
        <w:jc w:val="both"/>
        <w:rPr>
          <w:rFonts w:hint="eastAsia" w:ascii="方正楷体_GB2312" w:hAnsi="方正楷体_GB2312" w:eastAsia="方正楷体_GB2312" w:cs="方正楷体_GB2312"/>
          <w:spacing w:val="-5"/>
          <w:sz w:val="32"/>
          <w:szCs w:val="32"/>
          <w:lang w:val="en-US" w:eastAsia="zh-CN"/>
        </w:rPr>
      </w:pPr>
      <w:r>
        <w:rPr>
          <w:rFonts w:hint="eastAsia" w:ascii="方正楷体_GB2312" w:hAnsi="方正楷体_GB2312" w:eastAsia="方正楷体_GB2312" w:cs="方正楷体_GB2312"/>
          <w:spacing w:val="-5"/>
          <w:sz w:val="32"/>
          <w:szCs w:val="32"/>
          <w:lang w:val="en-US" w:eastAsia="zh-CN"/>
        </w:rPr>
        <w:t>①、技能竞赛以赛道形式进行，第一场1-5号队，第二场6-10号队，每场5队，5条赛道同时开跑。每条赛道设5个赛站，每个站设1项内容，每项内容可由1-2人操作。1-5号赛站共用一个题干。宣布比赛开始后，AB队员同时进入赛道，C队员在起点等候。每个考站操作满分为100分，整条赛道的操作总分为500分。每个赛站会指定由A队员或者B队员主操作，每个赛站操作完毕后主操作队员</w:t>
      </w:r>
      <w:r>
        <w:rPr>
          <w:rFonts w:hint="eastAsia" w:ascii="方正楷体_GB2312" w:hAnsi="方正楷体_GB2312" w:eastAsia="方正楷体_GB2312" w:cs="方正楷体_GB2312"/>
          <w:b/>
          <w:bCs/>
          <w:color w:val="auto"/>
          <w:spacing w:val="-5"/>
          <w:sz w:val="32"/>
          <w:szCs w:val="32"/>
          <w:lang w:val="en-US" w:eastAsia="zh-CN"/>
        </w:rPr>
        <w:t>必须清楚口述“操作完毕”</w:t>
      </w:r>
      <w:r>
        <w:rPr>
          <w:rFonts w:hint="eastAsia" w:ascii="方正楷体_GB2312" w:hAnsi="方正楷体_GB2312" w:eastAsia="方正楷体_GB2312" w:cs="方正楷体_GB2312"/>
          <w:spacing w:val="-5"/>
          <w:sz w:val="32"/>
          <w:szCs w:val="32"/>
          <w:lang w:val="en-US" w:eastAsia="zh-CN"/>
        </w:rPr>
        <w:t>才可以进入下一赛站。一旦口述“操作完毕”必须停止该站操作，不可再进行该站的任何操作。</w:t>
      </w:r>
    </w:p>
    <w:p w14:paraId="3400AFF5">
      <w:pPr>
        <w:spacing w:before="172" w:line="323" w:lineRule="auto"/>
        <w:ind w:right="4" w:firstLine="650"/>
        <w:jc w:val="both"/>
        <w:rPr>
          <w:rFonts w:hint="eastAsia" w:ascii="方正楷体_GB2312" w:hAnsi="方正楷体_GB2312" w:eastAsia="方正楷体_GB2312" w:cs="方正楷体_GB2312"/>
          <w:spacing w:val="-5"/>
          <w:sz w:val="32"/>
          <w:szCs w:val="32"/>
          <w:lang w:val="en-US" w:eastAsia="zh-CN"/>
        </w:rPr>
      </w:pPr>
      <w:r>
        <w:rPr>
          <w:rFonts w:hint="eastAsia" w:ascii="方正楷体_GB2312" w:hAnsi="方正楷体_GB2312" w:eastAsia="方正楷体_GB2312" w:cs="方正楷体_GB2312"/>
          <w:spacing w:val="-5"/>
          <w:sz w:val="32"/>
          <w:szCs w:val="32"/>
          <w:lang w:val="en-US" w:eastAsia="zh-CN"/>
        </w:rPr>
        <w:t>②、赛道比赛总时长30分钟，剩余5分钟时有时间提示。每轮比赛中第一个完成的队伍，在操作总得分的基础上加50分，第二个完成总分加40分，第三个完成的总分加30分，第四个完成的总分加20分，第五个完成的总分加10分，没有在30分钟内完成整条赛道的不加分。根据题干要求在模型上进行相应的基本技能操作。</w:t>
      </w:r>
    </w:p>
    <w:p w14:paraId="18D6E444">
      <w:pPr>
        <w:spacing w:before="172" w:line="323" w:lineRule="auto"/>
        <w:ind w:right="4"/>
        <w:jc w:val="both"/>
        <w:rPr>
          <w:rFonts w:hint="eastAsia" w:ascii="华文中宋" w:hAnsi="华文中宋" w:eastAsia="华文中宋" w:cs="华文中宋"/>
          <w:b/>
          <w:bCs/>
          <w:spacing w:val="-8"/>
          <w:sz w:val="32"/>
          <w:szCs w:val="32"/>
          <w:lang w:val="en-US" w:eastAsia="zh-CN"/>
        </w:rPr>
      </w:pPr>
      <w:r>
        <w:rPr>
          <w:rFonts w:hint="eastAsia" w:ascii="方正楷体_GB2312" w:hAnsi="方正楷体_GB2312" w:eastAsia="方正楷体_GB2312" w:cs="方正楷体_GB2312"/>
          <w:spacing w:val="-5"/>
          <w:sz w:val="32"/>
          <w:szCs w:val="32"/>
          <w:lang w:val="en-US" w:eastAsia="zh-CN"/>
        </w:rPr>
        <w:t>3、以上各站评分细则参照《广东省住院医师规范化培训结业临床实践能力考核标准方案(2022版)(耳鼻咽喉科)》相关项目评分表。</w:t>
      </w:r>
    </w:p>
    <w:p w14:paraId="5A987B81">
      <w:pPr>
        <w:spacing w:before="172" w:line="323" w:lineRule="auto"/>
        <w:ind w:right="4"/>
        <w:jc w:val="both"/>
        <w:rPr>
          <w:rFonts w:hint="eastAsia" w:ascii="华文中宋" w:hAnsi="华文中宋" w:eastAsia="华文中宋" w:cs="华文中宋"/>
          <w:spacing w:val="-5"/>
          <w:sz w:val="32"/>
          <w:szCs w:val="32"/>
          <w:lang w:val="en-US" w:eastAsia="zh-CN"/>
        </w:rPr>
      </w:pPr>
      <w:r>
        <w:rPr>
          <w:rFonts w:hint="eastAsia" w:ascii="华文中宋" w:hAnsi="华文中宋" w:eastAsia="华文中宋" w:cs="华文中宋"/>
          <w:b/>
          <w:bCs/>
          <w:spacing w:val="-5"/>
          <w:sz w:val="32"/>
          <w:szCs w:val="32"/>
          <w:lang w:val="en-US" w:eastAsia="zh-CN"/>
        </w:rPr>
        <w:t>三、竞赛成绩计算方法</w:t>
      </w:r>
    </w:p>
    <w:tbl>
      <w:tblPr>
        <w:tblStyle w:val="5"/>
        <w:tblW w:w="0" w:type="auto"/>
        <w:tblInd w:w="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77"/>
      </w:tblGrid>
      <w:tr w14:paraId="128FD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77" w:type="dxa"/>
          </w:tcPr>
          <w:p w14:paraId="7BF30CCA">
            <w:pPr>
              <w:widowControl w:val="0"/>
              <w:spacing w:before="172" w:line="323" w:lineRule="auto"/>
              <w:ind w:right="4"/>
              <w:jc w:val="both"/>
              <w:rPr>
                <w:rFonts w:hint="eastAsia" w:ascii="方正楷体_GB2312" w:hAnsi="方正楷体_GB2312" w:eastAsia="方正楷体_GB2312" w:cs="方正楷体_GB2312"/>
                <w:spacing w:val="-5"/>
                <w:sz w:val="32"/>
                <w:szCs w:val="32"/>
                <w:vertAlign w:val="baseline"/>
                <w:lang w:val="en-US" w:eastAsia="zh-CN"/>
              </w:rPr>
            </w:pPr>
            <w:r>
              <w:rPr>
                <w:rFonts w:hint="eastAsia" w:ascii="方正楷体_GB2312" w:hAnsi="方正楷体_GB2312" w:eastAsia="方正楷体_GB2312" w:cs="方正楷体_GB2312"/>
                <w:spacing w:val="-5"/>
                <w:sz w:val="32"/>
                <w:szCs w:val="32"/>
                <w:lang w:val="en-US" w:eastAsia="zh-CN"/>
              </w:rPr>
              <w:t>理论最终得分=计分牌分数-基础分（满分230分）</w:t>
            </w:r>
          </w:p>
        </w:tc>
      </w:tr>
      <w:tr w14:paraId="14F4D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77" w:type="dxa"/>
          </w:tcPr>
          <w:p w14:paraId="16912310">
            <w:pPr>
              <w:widowControl w:val="0"/>
              <w:spacing w:before="172" w:line="323" w:lineRule="auto"/>
              <w:ind w:right="4"/>
              <w:jc w:val="both"/>
              <w:rPr>
                <w:rFonts w:hint="eastAsia" w:ascii="方正楷体_GB2312" w:hAnsi="方正楷体_GB2312" w:eastAsia="方正楷体_GB2312" w:cs="方正楷体_GB2312"/>
                <w:spacing w:val="-5"/>
                <w:sz w:val="32"/>
                <w:szCs w:val="32"/>
                <w:vertAlign w:val="baseline"/>
                <w:lang w:val="en-US" w:eastAsia="zh-CN"/>
              </w:rPr>
            </w:pPr>
            <w:r>
              <w:rPr>
                <w:rFonts w:hint="eastAsia" w:ascii="方正楷体_GB2312" w:hAnsi="方正楷体_GB2312" w:eastAsia="方正楷体_GB2312" w:cs="方正楷体_GB2312"/>
                <w:spacing w:val="-5"/>
                <w:sz w:val="32"/>
                <w:szCs w:val="32"/>
                <w:lang w:val="en-US" w:eastAsia="zh-CN"/>
              </w:rPr>
              <w:t>操作最终得分=各站点分数之和+完成速度附加分（满分550分）</w:t>
            </w:r>
          </w:p>
        </w:tc>
      </w:tr>
      <w:tr w14:paraId="7B0DB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77" w:type="dxa"/>
          </w:tcPr>
          <w:p w14:paraId="4D52A276">
            <w:pPr>
              <w:widowControl w:val="0"/>
              <w:spacing w:before="172" w:line="323" w:lineRule="auto"/>
              <w:ind w:right="4"/>
              <w:jc w:val="both"/>
              <w:rPr>
                <w:rFonts w:hint="eastAsia" w:ascii="方正楷体_GB2312" w:hAnsi="方正楷体_GB2312" w:eastAsia="方正楷体_GB2312" w:cs="方正楷体_GB2312"/>
                <w:spacing w:val="-5"/>
                <w:sz w:val="32"/>
                <w:szCs w:val="32"/>
                <w:vertAlign w:val="baseline"/>
                <w:lang w:val="en-US" w:eastAsia="zh-CN"/>
              </w:rPr>
            </w:pPr>
            <w:r>
              <w:rPr>
                <w:rFonts w:hint="eastAsia" w:ascii="方正楷体_GB2312" w:hAnsi="方正楷体_GB2312" w:eastAsia="方正楷体_GB2312" w:cs="方正楷体_GB2312"/>
                <w:spacing w:val="-5"/>
                <w:sz w:val="32"/>
                <w:szCs w:val="32"/>
                <w:lang w:val="en-US" w:eastAsia="zh-CN"/>
              </w:rPr>
              <w:t>最终成绩计算方式：总成绩=1×理论最终得分+1.4×操作最终得分，总成绩满分1000分，权重后理论满分230分，操作满分770分。</w:t>
            </w:r>
          </w:p>
        </w:tc>
      </w:tr>
    </w:tbl>
    <w:p w14:paraId="6D610090">
      <w:pPr>
        <w:spacing w:before="172" w:line="323" w:lineRule="auto"/>
        <w:ind w:right="4"/>
        <w:jc w:val="both"/>
        <w:rPr>
          <w:rFonts w:hint="eastAsia" w:ascii="华文中宋" w:hAnsi="华文中宋" w:eastAsia="华文中宋" w:cs="华文中宋"/>
          <w:spacing w:val="-5"/>
          <w:sz w:val="32"/>
          <w:szCs w:val="32"/>
          <w:u w:val="single"/>
          <w:lang w:val="en-US" w:eastAsia="zh-CN"/>
        </w:rPr>
      </w:pPr>
      <w:r>
        <w:rPr>
          <w:rFonts w:hint="eastAsia" w:ascii="方正楷体_GB2312" w:hAnsi="方正楷体_GB2312" w:eastAsia="方正楷体_GB2312" w:cs="方正楷体_GB2312"/>
          <w:spacing w:val="-5"/>
          <w:sz w:val="32"/>
          <w:szCs w:val="32"/>
          <w:u w:val="single"/>
          <w:lang w:val="en-US" w:eastAsia="zh-CN"/>
        </w:rPr>
        <w:t>备注：赛后当场公布成绩并进行颁奖。</w:t>
      </w:r>
    </w:p>
    <w:p w14:paraId="3C60C398">
      <w:pPr>
        <w:numPr>
          <w:ilvl w:val="0"/>
          <w:numId w:val="0"/>
        </w:numPr>
        <w:spacing w:before="172" w:line="323" w:lineRule="auto"/>
        <w:ind w:right="4" w:rightChars="0"/>
        <w:jc w:val="both"/>
        <w:rPr>
          <w:rFonts w:hint="eastAsia" w:ascii="华文中宋" w:hAnsi="华文中宋" w:eastAsia="华文中宋" w:cs="华文中宋"/>
          <w:spacing w:val="-5"/>
          <w:sz w:val="32"/>
          <w:szCs w:val="32"/>
          <w:lang w:val="en-US" w:eastAsia="zh-CN"/>
        </w:rPr>
      </w:pPr>
      <w:r>
        <w:rPr>
          <w:rFonts w:hint="eastAsia" w:ascii="华文中宋" w:hAnsi="华文中宋" w:eastAsia="华文中宋" w:cs="华文中宋"/>
          <w:b/>
          <w:bCs/>
          <w:snapToGrid w:val="0"/>
          <w:color w:val="000000"/>
          <w:spacing w:val="-5"/>
          <w:kern w:val="0"/>
          <w:sz w:val="32"/>
          <w:szCs w:val="32"/>
          <w:lang w:val="en-US" w:eastAsia="zh-CN" w:bidi="ar-SA"/>
        </w:rPr>
        <w:t>四、</w:t>
      </w:r>
      <w:r>
        <w:rPr>
          <w:rFonts w:hint="eastAsia" w:ascii="华文中宋" w:hAnsi="华文中宋" w:eastAsia="华文中宋" w:cs="华文中宋"/>
          <w:b/>
          <w:bCs/>
          <w:spacing w:val="-5"/>
          <w:sz w:val="32"/>
          <w:szCs w:val="32"/>
          <w:lang w:val="en-US" w:eastAsia="zh-CN"/>
        </w:rPr>
        <w:t>奖项设置</w:t>
      </w:r>
    </w:p>
    <w:p w14:paraId="6D82CC22">
      <w:pPr>
        <w:numPr>
          <w:ilvl w:val="0"/>
          <w:numId w:val="0"/>
        </w:numPr>
        <w:spacing w:before="172" w:line="323" w:lineRule="auto"/>
        <w:ind w:right="4" w:rightChars="0" w:firstLine="620" w:firstLineChars="200"/>
        <w:jc w:val="both"/>
        <w:rPr>
          <w:rFonts w:hint="eastAsia" w:ascii="华文中宋" w:hAnsi="华文中宋" w:eastAsia="华文中宋" w:cs="华文中宋"/>
          <w:b/>
          <w:bCs/>
          <w:spacing w:val="-8"/>
          <w:sz w:val="32"/>
          <w:szCs w:val="32"/>
          <w:lang w:val="en-US" w:eastAsia="zh-CN"/>
        </w:rPr>
      </w:pPr>
      <w:r>
        <w:rPr>
          <w:rFonts w:hint="eastAsia" w:ascii="方正楷体_GB2312" w:hAnsi="方正楷体_GB2312" w:eastAsia="方正楷体_GB2312" w:cs="方正楷体_GB2312"/>
          <w:spacing w:val="-5"/>
          <w:sz w:val="32"/>
          <w:szCs w:val="32"/>
          <w:lang w:val="en-US" w:eastAsia="zh-CN"/>
        </w:rPr>
        <w:t>本次临床技能决赛将分别决出：一等奖1名、二等奖2名、三等奖3名、优秀奖若干名</w:t>
      </w:r>
      <w:r>
        <w:rPr>
          <w:rFonts w:hint="eastAsia" w:ascii="华文中宋" w:hAnsi="华文中宋" w:eastAsia="华文中宋" w:cs="华文中宋"/>
          <w:spacing w:val="-5"/>
          <w:sz w:val="32"/>
          <w:szCs w:val="32"/>
          <w:lang w:val="en-US" w:eastAsia="zh-CN"/>
        </w:rPr>
        <w:t>。</w:t>
      </w:r>
    </w:p>
    <w:p w14:paraId="0BB319DC">
      <w:pPr>
        <w:rPr>
          <w:rFonts w:hint="eastAsia" w:ascii="华文中宋" w:hAnsi="华文中宋" w:eastAsia="华文中宋" w:cs="华文中宋"/>
          <w:b/>
          <w:bCs/>
          <w:spacing w:val="-5"/>
          <w:sz w:val="32"/>
          <w:szCs w:val="32"/>
          <w:lang w:val="en-US" w:eastAsia="zh-CN"/>
        </w:rPr>
      </w:pPr>
      <w:r>
        <w:rPr>
          <w:rFonts w:hint="eastAsia" w:ascii="华文中宋" w:hAnsi="华文中宋" w:eastAsia="华文中宋" w:cs="华文中宋"/>
          <w:b/>
          <w:bCs/>
          <w:spacing w:val="-5"/>
          <w:sz w:val="32"/>
          <w:szCs w:val="32"/>
          <w:lang w:val="en-US" w:eastAsia="zh-CN"/>
        </w:rPr>
        <w:br w:type="page"/>
      </w:r>
    </w:p>
    <w:p w14:paraId="52F9343D">
      <w:pPr>
        <w:numPr>
          <w:ilvl w:val="0"/>
          <w:numId w:val="0"/>
        </w:numPr>
        <w:spacing w:before="172" w:line="323" w:lineRule="auto"/>
        <w:ind w:right="4" w:rightChars="0"/>
        <w:jc w:val="both"/>
        <w:rPr>
          <w:rFonts w:hint="eastAsia" w:ascii="华文中宋" w:hAnsi="华文中宋" w:eastAsia="华文中宋" w:cs="华文中宋"/>
          <w:b/>
          <w:bCs/>
          <w:spacing w:val="-5"/>
          <w:sz w:val="32"/>
          <w:szCs w:val="32"/>
          <w:lang w:val="en-US" w:eastAsia="zh-CN"/>
        </w:rPr>
      </w:pPr>
      <w:r>
        <w:rPr>
          <w:rFonts w:hint="eastAsia" w:ascii="华文中宋" w:hAnsi="华文中宋" w:eastAsia="华文中宋" w:cs="华文中宋"/>
          <w:b/>
          <w:bCs/>
          <w:spacing w:val="-5"/>
          <w:sz w:val="32"/>
          <w:szCs w:val="32"/>
          <w:lang w:val="en-US" w:eastAsia="zh-CN"/>
        </w:rPr>
        <w:t>五、竞赛裁判</w:t>
      </w:r>
    </w:p>
    <w:p w14:paraId="6D706230">
      <w:pPr>
        <w:numPr>
          <w:ilvl w:val="0"/>
          <w:numId w:val="0"/>
        </w:numPr>
        <w:spacing w:before="172" w:line="323" w:lineRule="auto"/>
        <w:ind w:right="4" w:rightChars="0"/>
        <w:jc w:val="both"/>
        <w:rPr>
          <w:rFonts w:hint="eastAsia" w:ascii="方正楷体_GB2312" w:hAnsi="方正楷体_GB2312" w:eastAsia="方正楷体_GB2312" w:cs="方正楷体_GB2312"/>
          <w:spacing w:val="-5"/>
          <w:sz w:val="32"/>
          <w:szCs w:val="32"/>
          <w:lang w:val="en-US" w:eastAsia="zh-CN"/>
        </w:rPr>
      </w:pPr>
      <w:r>
        <w:rPr>
          <w:rFonts w:hint="eastAsia" w:ascii="方正楷体_GB2312" w:hAnsi="方正楷体_GB2312" w:eastAsia="方正楷体_GB2312" w:cs="方正楷体_GB2312"/>
          <w:spacing w:val="-5"/>
          <w:sz w:val="32"/>
          <w:szCs w:val="32"/>
          <w:lang w:val="en-US" w:eastAsia="zh-CN"/>
        </w:rPr>
        <w:t>1、设裁判长一名，副裁判长三名，分别为：</w:t>
      </w:r>
    </w:p>
    <w:tbl>
      <w:tblPr>
        <w:tblStyle w:val="5"/>
        <w:tblW w:w="0" w:type="auto"/>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61"/>
        <w:gridCol w:w="4663"/>
        <w:gridCol w:w="2998"/>
      </w:tblGrid>
      <w:tr w14:paraId="1CFDC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61" w:type="dxa"/>
            <w:vAlign w:val="top"/>
          </w:tcPr>
          <w:p w14:paraId="0015A182">
            <w:pPr>
              <w:widowControl w:val="0"/>
              <w:spacing w:before="188" w:line="240" w:lineRule="auto"/>
              <w:jc w:val="center"/>
              <w:rPr>
                <w:rFonts w:hint="eastAsia" w:ascii="方正楷体_GB2312" w:hAnsi="方正楷体_GB2312" w:eastAsia="方正楷体_GB2312" w:cs="方正楷体_GB2312"/>
                <w:color w:val="auto"/>
                <w:spacing w:val="-8"/>
                <w:position w:val="18"/>
                <w:sz w:val="28"/>
                <w:szCs w:val="28"/>
                <w:vertAlign w:val="baseline"/>
                <w:lang w:eastAsia="zh-CN"/>
              </w:rPr>
            </w:pPr>
            <w:r>
              <w:rPr>
                <w:rFonts w:hint="eastAsia" w:ascii="方正楷体_GB2312" w:hAnsi="方正楷体_GB2312" w:eastAsia="方正楷体_GB2312" w:cs="方正楷体_GB2312"/>
                <w:color w:val="auto"/>
                <w:spacing w:val="-8"/>
                <w:position w:val="18"/>
                <w:sz w:val="28"/>
                <w:szCs w:val="28"/>
                <w:vertAlign w:val="baseline"/>
                <w:lang w:eastAsia="zh-CN"/>
              </w:rPr>
              <w:t>张革化</w:t>
            </w:r>
          </w:p>
        </w:tc>
        <w:tc>
          <w:tcPr>
            <w:tcW w:w="4663" w:type="dxa"/>
            <w:vAlign w:val="top"/>
          </w:tcPr>
          <w:p w14:paraId="7482700B">
            <w:pPr>
              <w:widowControl w:val="0"/>
              <w:spacing w:before="188" w:line="240" w:lineRule="auto"/>
              <w:jc w:val="center"/>
              <w:rPr>
                <w:rFonts w:hint="eastAsia" w:ascii="方正楷体_GB2312" w:hAnsi="方正楷体_GB2312" w:eastAsia="方正楷体_GB2312" w:cs="方正楷体_GB2312"/>
                <w:color w:val="auto"/>
                <w:spacing w:val="-8"/>
                <w:position w:val="18"/>
                <w:sz w:val="28"/>
                <w:szCs w:val="28"/>
                <w:vertAlign w:val="baseline"/>
                <w:lang w:eastAsia="zh-CN"/>
              </w:rPr>
            </w:pPr>
            <w:r>
              <w:rPr>
                <w:rFonts w:hint="eastAsia" w:ascii="方正楷体_GB2312" w:hAnsi="方正楷体_GB2312" w:eastAsia="方正楷体_GB2312" w:cs="方正楷体_GB2312"/>
                <w:color w:val="auto"/>
                <w:spacing w:val="-8"/>
                <w:position w:val="18"/>
                <w:sz w:val="28"/>
                <w:szCs w:val="28"/>
                <w:lang w:eastAsia="zh-CN"/>
              </w:rPr>
              <w:t>中山大学附属第三医院</w:t>
            </w:r>
          </w:p>
        </w:tc>
        <w:tc>
          <w:tcPr>
            <w:tcW w:w="2998" w:type="dxa"/>
            <w:vAlign w:val="top"/>
          </w:tcPr>
          <w:p w14:paraId="0100D183">
            <w:pPr>
              <w:widowControl w:val="0"/>
              <w:spacing w:before="188" w:line="240" w:lineRule="auto"/>
              <w:jc w:val="center"/>
              <w:rPr>
                <w:rFonts w:hint="eastAsia" w:ascii="方正楷体_GB2312" w:hAnsi="方正楷体_GB2312" w:eastAsia="方正楷体_GB2312" w:cs="方正楷体_GB2312"/>
                <w:color w:val="auto"/>
                <w:spacing w:val="-8"/>
                <w:position w:val="18"/>
                <w:sz w:val="28"/>
                <w:szCs w:val="28"/>
                <w:vertAlign w:val="baseline"/>
                <w:lang w:eastAsia="zh-CN"/>
              </w:rPr>
            </w:pPr>
            <w:r>
              <w:rPr>
                <w:rFonts w:hint="eastAsia" w:ascii="方正楷体_GB2312" w:hAnsi="方正楷体_GB2312" w:eastAsia="方正楷体_GB2312" w:cs="方正楷体_GB2312"/>
                <w:color w:val="auto"/>
                <w:spacing w:val="-8"/>
                <w:position w:val="18"/>
                <w:sz w:val="28"/>
                <w:szCs w:val="28"/>
                <w:vertAlign w:val="baseline"/>
                <w:lang w:eastAsia="zh-CN"/>
              </w:rPr>
              <w:t>裁判长</w:t>
            </w:r>
          </w:p>
        </w:tc>
      </w:tr>
      <w:tr w14:paraId="65144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61" w:type="dxa"/>
            <w:vAlign w:val="top"/>
          </w:tcPr>
          <w:p w14:paraId="4A23BE24">
            <w:pPr>
              <w:widowControl w:val="0"/>
              <w:spacing w:before="188" w:line="240" w:lineRule="auto"/>
              <w:jc w:val="center"/>
              <w:rPr>
                <w:rFonts w:hint="default" w:ascii="方正楷体_GB2312" w:hAnsi="方正楷体_GB2312" w:eastAsia="方正楷体_GB2312" w:cs="方正楷体_GB2312"/>
                <w:color w:val="auto"/>
                <w:spacing w:val="-8"/>
                <w:position w:val="18"/>
                <w:sz w:val="28"/>
                <w:szCs w:val="28"/>
                <w:vertAlign w:val="baseline"/>
                <w:lang w:val="en-US" w:eastAsia="zh-CN"/>
              </w:rPr>
            </w:pPr>
            <w:r>
              <w:rPr>
                <w:rFonts w:hint="eastAsia" w:ascii="方正楷体_GB2312" w:hAnsi="方正楷体_GB2312" w:eastAsia="方正楷体_GB2312" w:cs="方正楷体_GB2312"/>
                <w:color w:val="auto"/>
                <w:spacing w:val="-8"/>
                <w:position w:val="18"/>
                <w:sz w:val="28"/>
                <w:szCs w:val="28"/>
                <w:vertAlign w:val="baseline"/>
                <w:lang w:val="en-US" w:eastAsia="zh-CN"/>
              </w:rPr>
              <w:t>曾宪海</w:t>
            </w:r>
          </w:p>
        </w:tc>
        <w:tc>
          <w:tcPr>
            <w:tcW w:w="4663" w:type="dxa"/>
            <w:vAlign w:val="top"/>
          </w:tcPr>
          <w:p w14:paraId="5A5AD5B8">
            <w:pPr>
              <w:widowControl w:val="0"/>
              <w:spacing w:before="188" w:line="240" w:lineRule="auto"/>
              <w:jc w:val="center"/>
              <w:rPr>
                <w:rFonts w:hint="eastAsia" w:ascii="方正楷体_GB2312" w:hAnsi="方正楷体_GB2312" w:eastAsia="方正楷体_GB2312" w:cs="方正楷体_GB2312"/>
                <w:color w:val="auto"/>
                <w:spacing w:val="-8"/>
                <w:position w:val="18"/>
                <w:sz w:val="28"/>
                <w:szCs w:val="28"/>
                <w:vertAlign w:val="baseline"/>
                <w:lang w:eastAsia="zh-CN"/>
              </w:rPr>
            </w:pPr>
            <w:r>
              <w:rPr>
                <w:rFonts w:hint="eastAsia" w:ascii="方正楷体_GB2312" w:hAnsi="方正楷体_GB2312" w:eastAsia="方正楷体_GB2312" w:cs="方正楷体_GB2312"/>
                <w:color w:val="auto"/>
                <w:spacing w:val="-8"/>
                <w:position w:val="18"/>
                <w:sz w:val="28"/>
                <w:szCs w:val="28"/>
                <w:lang w:eastAsia="zh-CN"/>
              </w:rPr>
              <w:t>深圳市龙岗区耳鼻咽喉医院</w:t>
            </w:r>
          </w:p>
        </w:tc>
        <w:tc>
          <w:tcPr>
            <w:tcW w:w="2998" w:type="dxa"/>
            <w:vAlign w:val="top"/>
          </w:tcPr>
          <w:p w14:paraId="00ABEE82">
            <w:pPr>
              <w:widowControl w:val="0"/>
              <w:spacing w:before="188" w:line="240" w:lineRule="auto"/>
              <w:jc w:val="center"/>
              <w:rPr>
                <w:rFonts w:hint="eastAsia" w:ascii="方正楷体_GB2312" w:hAnsi="方正楷体_GB2312" w:eastAsia="方正楷体_GB2312" w:cs="方正楷体_GB2312"/>
                <w:color w:val="auto"/>
                <w:spacing w:val="-8"/>
                <w:position w:val="18"/>
                <w:sz w:val="28"/>
                <w:szCs w:val="28"/>
                <w:vertAlign w:val="baseline"/>
                <w:lang w:eastAsia="zh-CN"/>
              </w:rPr>
            </w:pPr>
            <w:r>
              <w:rPr>
                <w:rFonts w:hint="eastAsia" w:ascii="方正楷体_GB2312" w:hAnsi="方正楷体_GB2312" w:eastAsia="方正楷体_GB2312" w:cs="方正楷体_GB2312"/>
                <w:color w:val="auto"/>
                <w:spacing w:val="-8"/>
                <w:position w:val="18"/>
                <w:sz w:val="28"/>
                <w:szCs w:val="28"/>
                <w:lang w:eastAsia="zh-CN"/>
              </w:rPr>
              <w:t>副裁判长</w:t>
            </w:r>
          </w:p>
        </w:tc>
      </w:tr>
      <w:tr w14:paraId="0E00D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61" w:type="dxa"/>
            <w:vAlign w:val="top"/>
          </w:tcPr>
          <w:p w14:paraId="1B667544">
            <w:pPr>
              <w:widowControl w:val="0"/>
              <w:spacing w:before="188" w:line="240" w:lineRule="auto"/>
              <w:jc w:val="center"/>
              <w:rPr>
                <w:rFonts w:hint="eastAsia" w:ascii="方正楷体_GB2312" w:hAnsi="方正楷体_GB2312" w:eastAsia="方正楷体_GB2312" w:cs="方正楷体_GB2312"/>
                <w:color w:val="auto"/>
                <w:spacing w:val="-8"/>
                <w:position w:val="18"/>
                <w:sz w:val="28"/>
                <w:szCs w:val="28"/>
                <w:vertAlign w:val="baseline"/>
                <w:lang w:eastAsia="zh-CN"/>
              </w:rPr>
            </w:pPr>
            <w:r>
              <w:rPr>
                <w:rFonts w:hint="eastAsia" w:ascii="方正楷体_GB2312" w:hAnsi="方正楷体_GB2312" w:eastAsia="方正楷体_GB2312" w:cs="方正楷体_GB2312"/>
                <w:color w:val="auto"/>
                <w:spacing w:val="-8"/>
                <w:position w:val="18"/>
                <w:sz w:val="28"/>
                <w:szCs w:val="28"/>
                <w:vertAlign w:val="baseline"/>
                <w:lang w:val="en-US" w:eastAsia="zh-CN"/>
              </w:rPr>
              <w:t>柯朝阳</w:t>
            </w:r>
          </w:p>
        </w:tc>
        <w:tc>
          <w:tcPr>
            <w:tcW w:w="4663" w:type="dxa"/>
            <w:vAlign w:val="top"/>
          </w:tcPr>
          <w:p w14:paraId="7967F44B">
            <w:pPr>
              <w:widowControl w:val="0"/>
              <w:spacing w:before="188" w:line="240" w:lineRule="auto"/>
              <w:jc w:val="center"/>
              <w:rPr>
                <w:rFonts w:hint="default" w:ascii="方正楷体_GB2312" w:hAnsi="方正楷体_GB2312" w:eastAsia="方正楷体_GB2312" w:cs="方正楷体_GB2312"/>
                <w:color w:val="auto"/>
                <w:spacing w:val="-8"/>
                <w:position w:val="18"/>
                <w:sz w:val="28"/>
                <w:szCs w:val="28"/>
                <w:vertAlign w:val="baseline"/>
                <w:lang w:val="en-US" w:eastAsia="zh-CN"/>
              </w:rPr>
            </w:pPr>
            <w:r>
              <w:rPr>
                <w:rFonts w:hint="eastAsia" w:ascii="方正楷体_GB2312" w:hAnsi="方正楷体_GB2312" w:eastAsia="方正楷体_GB2312" w:cs="方正楷体_GB2312"/>
                <w:color w:val="auto"/>
                <w:spacing w:val="-8"/>
                <w:position w:val="18"/>
                <w:sz w:val="28"/>
                <w:szCs w:val="28"/>
                <w:lang w:val="en-US" w:eastAsia="zh-CN"/>
              </w:rPr>
              <w:t>深圳市人民医院</w:t>
            </w:r>
          </w:p>
        </w:tc>
        <w:tc>
          <w:tcPr>
            <w:tcW w:w="2998" w:type="dxa"/>
            <w:vAlign w:val="top"/>
          </w:tcPr>
          <w:p w14:paraId="4C139D58">
            <w:pPr>
              <w:widowControl w:val="0"/>
              <w:spacing w:before="188" w:line="240" w:lineRule="auto"/>
              <w:jc w:val="center"/>
              <w:rPr>
                <w:rFonts w:hint="eastAsia" w:ascii="方正楷体_GB2312" w:hAnsi="方正楷体_GB2312" w:eastAsia="方正楷体_GB2312" w:cs="方正楷体_GB2312"/>
                <w:color w:val="auto"/>
                <w:spacing w:val="-8"/>
                <w:position w:val="18"/>
                <w:sz w:val="28"/>
                <w:szCs w:val="28"/>
                <w:vertAlign w:val="baseline"/>
                <w:lang w:eastAsia="zh-CN"/>
              </w:rPr>
            </w:pPr>
            <w:r>
              <w:rPr>
                <w:rFonts w:hint="eastAsia" w:ascii="方正楷体_GB2312" w:hAnsi="方正楷体_GB2312" w:eastAsia="方正楷体_GB2312" w:cs="方正楷体_GB2312"/>
                <w:color w:val="auto"/>
                <w:spacing w:val="-8"/>
                <w:position w:val="18"/>
                <w:sz w:val="28"/>
                <w:szCs w:val="28"/>
                <w:lang w:eastAsia="zh-CN"/>
              </w:rPr>
              <w:t>副裁判长</w:t>
            </w:r>
          </w:p>
        </w:tc>
      </w:tr>
      <w:tr w14:paraId="634D1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61" w:type="dxa"/>
            <w:vAlign w:val="top"/>
          </w:tcPr>
          <w:p w14:paraId="7A1E7F3C">
            <w:pPr>
              <w:widowControl w:val="0"/>
              <w:spacing w:before="188" w:line="240" w:lineRule="auto"/>
              <w:jc w:val="center"/>
              <w:rPr>
                <w:rFonts w:hint="eastAsia" w:ascii="方正楷体_GB2312" w:hAnsi="方正楷体_GB2312" w:eastAsia="方正楷体_GB2312" w:cs="方正楷体_GB2312"/>
                <w:color w:val="auto"/>
                <w:spacing w:val="-8"/>
                <w:position w:val="18"/>
                <w:sz w:val="28"/>
                <w:szCs w:val="28"/>
                <w:vertAlign w:val="baseline"/>
                <w:lang w:eastAsia="zh-CN"/>
              </w:rPr>
            </w:pPr>
            <w:r>
              <w:rPr>
                <w:rFonts w:hint="eastAsia" w:ascii="方正楷体_GB2312" w:hAnsi="方正楷体_GB2312" w:eastAsia="方正楷体_GB2312" w:cs="方正楷体_GB2312"/>
                <w:color w:val="auto"/>
                <w:spacing w:val="-8"/>
                <w:position w:val="18"/>
                <w:sz w:val="28"/>
                <w:szCs w:val="28"/>
                <w:vertAlign w:val="baseline"/>
                <w:lang w:val="en-US" w:eastAsia="zh-CN"/>
              </w:rPr>
              <w:t>傅敏仪</w:t>
            </w:r>
          </w:p>
        </w:tc>
        <w:tc>
          <w:tcPr>
            <w:tcW w:w="4663" w:type="dxa"/>
            <w:vAlign w:val="top"/>
          </w:tcPr>
          <w:p w14:paraId="3880661C">
            <w:pPr>
              <w:widowControl w:val="0"/>
              <w:spacing w:before="188" w:line="240" w:lineRule="auto"/>
              <w:jc w:val="center"/>
              <w:rPr>
                <w:rFonts w:hint="eastAsia" w:ascii="方正楷体_GB2312" w:hAnsi="方正楷体_GB2312" w:eastAsia="方正楷体_GB2312" w:cs="方正楷体_GB2312"/>
                <w:color w:val="auto"/>
                <w:spacing w:val="-8"/>
                <w:position w:val="18"/>
                <w:sz w:val="28"/>
                <w:szCs w:val="28"/>
                <w:vertAlign w:val="baseline"/>
                <w:lang w:eastAsia="zh-CN"/>
              </w:rPr>
            </w:pPr>
            <w:r>
              <w:rPr>
                <w:rFonts w:hint="eastAsia" w:ascii="方正楷体_GB2312" w:hAnsi="方正楷体_GB2312" w:eastAsia="方正楷体_GB2312" w:cs="方正楷体_GB2312"/>
                <w:color w:val="auto"/>
                <w:spacing w:val="-8"/>
                <w:position w:val="18"/>
                <w:sz w:val="28"/>
                <w:szCs w:val="28"/>
                <w:lang w:val="en-US" w:eastAsia="zh-CN"/>
              </w:rPr>
              <w:t>中山市人民</w:t>
            </w:r>
            <w:r>
              <w:rPr>
                <w:rFonts w:hint="eastAsia" w:ascii="方正楷体_GB2312" w:hAnsi="方正楷体_GB2312" w:eastAsia="方正楷体_GB2312" w:cs="方正楷体_GB2312"/>
                <w:color w:val="auto"/>
                <w:spacing w:val="-8"/>
                <w:position w:val="18"/>
                <w:sz w:val="28"/>
                <w:szCs w:val="28"/>
                <w:lang w:eastAsia="zh-CN"/>
              </w:rPr>
              <w:t>医院</w:t>
            </w:r>
          </w:p>
        </w:tc>
        <w:tc>
          <w:tcPr>
            <w:tcW w:w="2998" w:type="dxa"/>
            <w:vAlign w:val="top"/>
          </w:tcPr>
          <w:p w14:paraId="0044C31F">
            <w:pPr>
              <w:widowControl w:val="0"/>
              <w:spacing w:before="188" w:line="240" w:lineRule="auto"/>
              <w:jc w:val="center"/>
              <w:rPr>
                <w:rFonts w:hint="eastAsia" w:ascii="方正楷体_GB2312" w:hAnsi="方正楷体_GB2312" w:eastAsia="方正楷体_GB2312" w:cs="方正楷体_GB2312"/>
                <w:color w:val="auto"/>
                <w:spacing w:val="-8"/>
                <w:position w:val="18"/>
                <w:sz w:val="28"/>
                <w:szCs w:val="28"/>
                <w:vertAlign w:val="baseline"/>
                <w:lang w:eastAsia="zh-CN"/>
              </w:rPr>
            </w:pPr>
            <w:r>
              <w:rPr>
                <w:rFonts w:hint="eastAsia" w:ascii="方正楷体_GB2312" w:hAnsi="方正楷体_GB2312" w:eastAsia="方正楷体_GB2312" w:cs="方正楷体_GB2312"/>
                <w:color w:val="auto"/>
                <w:spacing w:val="-8"/>
                <w:position w:val="18"/>
                <w:sz w:val="28"/>
                <w:szCs w:val="28"/>
                <w:lang w:eastAsia="zh-CN"/>
              </w:rPr>
              <w:t>副裁判长</w:t>
            </w:r>
          </w:p>
        </w:tc>
      </w:tr>
    </w:tbl>
    <w:p w14:paraId="7B3C293A">
      <w:pPr>
        <w:spacing w:before="172" w:line="323" w:lineRule="auto"/>
        <w:ind w:right="4"/>
        <w:jc w:val="both"/>
        <w:rPr>
          <w:rFonts w:hint="eastAsia" w:ascii="方正楷体_GB2312" w:hAnsi="方正楷体_GB2312" w:eastAsia="方正楷体_GB2312" w:cs="方正楷体_GB2312"/>
          <w:spacing w:val="-5"/>
          <w:sz w:val="32"/>
          <w:szCs w:val="32"/>
          <w:lang w:val="en-US" w:eastAsia="zh-CN"/>
        </w:rPr>
      </w:pPr>
      <w:r>
        <w:rPr>
          <w:rFonts w:hint="eastAsia" w:ascii="方正楷体_GB2312" w:hAnsi="方正楷体_GB2312" w:eastAsia="方正楷体_GB2312" w:cs="方正楷体_GB2312"/>
          <w:spacing w:val="-5"/>
          <w:sz w:val="32"/>
          <w:szCs w:val="32"/>
          <w:lang w:val="en-US" w:eastAsia="zh-CN"/>
        </w:rPr>
        <w:t>2、裁判资格要求具备住培带教资格3年以上的主治医师及以上的职称人员，裁判22名（包含备用裁判2名）分别由以下单位选派：</w:t>
      </w:r>
    </w:p>
    <w:p w14:paraId="4677157D">
      <w:pPr>
        <w:spacing w:before="172" w:line="323" w:lineRule="auto"/>
        <w:ind w:right="4" w:firstLine="620" w:firstLineChars="200"/>
        <w:jc w:val="both"/>
        <w:rPr>
          <w:rFonts w:hint="eastAsia" w:ascii="华文中宋" w:hAnsi="华文中宋" w:eastAsia="华文中宋" w:cs="华文中宋"/>
          <w:snapToGrid w:val="0"/>
          <w:color w:val="000000"/>
          <w:spacing w:val="-5"/>
          <w:kern w:val="0"/>
          <w:sz w:val="32"/>
          <w:szCs w:val="32"/>
          <w:lang w:val="en-US" w:eastAsia="zh-CN" w:bidi="ar-SA"/>
        </w:rPr>
      </w:pPr>
      <w:r>
        <w:rPr>
          <w:rFonts w:hint="eastAsia" w:ascii="方正楷体_GB2312" w:hAnsi="方正楷体_GB2312" w:eastAsia="方正楷体_GB2312" w:cs="方正楷体_GB2312"/>
          <w:color w:val="auto"/>
          <w:spacing w:val="-5"/>
          <w:sz w:val="32"/>
          <w:szCs w:val="32"/>
          <w:lang w:val="en-US" w:eastAsia="zh-CN"/>
        </w:rPr>
        <w:t>中山大学附属第一医院、中山大学孙逸仙纪念医院、中山大学附属</w:t>
      </w:r>
      <w:bookmarkStart w:id="0" w:name="_GoBack"/>
      <w:bookmarkEnd w:id="0"/>
      <w:r>
        <w:rPr>
          <w:rFonts w:hint="eastAsia" w:ascii="方正楷体_GB2312" w:hAnsi="方正楷体_GB2312" w:eastAsia="方正楷体_GB2312" w:cs="方正楷体_GB2312"/>
          <w:color w:val="auto"/>
          <w:spacing w:val="-5"/>
          <w:sz w:val="32"/>
          <w:szCs w:val="32"/>
          <w:lang w:val="en-US" w:eastAsia="zh-CN"/>
        </w:rPr>
        <w:t>第三医院、中山大学附属第五医院、广东省人民医院、南方医科大学南方医院、南方医科大学珠江医院、南方医科大学第三附属医院、暨南大学附属第一医院、广州医科大学附属第二医院、广州市红十字会医院、广东省第二人民医院、广州市第一人民医院、</w:t>
      </w:r>
      <w:r>
        <w:rPr>
          <w:rFonts w:hint="eastAsia" w:ascii="方正楷体_GB2312" w:hAnsi="方正楷体_GB2312" w:eastAsia="方正楷体_GB2312" w:cs="方正楷体_GB2312"/>
          <w:color w:val="auto"/>
          <w:spacing w:val="-5"/>
          <w:sz w:val="32"/>
          <w:szCs w:val="32"/>
          <w:highlight w:val="none"/>
          <w:lang w:val="en-US" w:eastAsia="zh-CN"/>
        </w:rPr>
        <w:t>深圳市人民医院、深圳市第二人民医院、</w:t>
      </w:r>
      <w:r>
        <w:rPr>
          <w:rFonts w:hint="eastAsia" w:ascii="方正楷体_GB2312" w:hAnsi="方正楷体_GB2312" w:eastAsia="方正楷体_GB2312" w:cs="方正楷体_GB2312"/>
          <w:color w:val="auto"/>
          <w:spacing w:val="-5"/>
          <w:sz w:val="32"/>
          <w:szCs w:val="32"/>
          <w:lang w:val="en-US" w:eastAsia="zh-CN"/>
        </w:rPr>
        <w:t>佛山市第一人民医院、中山市人民医院、汕头市中心医院、汕头大学医学院第一附属医院、清远市人民医院、广东医科大学附属医院、东莞市人民医院等医院各选派1名参加。</w:t>
      </w:r>
      <w:r>
        <w:rPr>
          <w:rFonts w:hint="eastAsia" w:ascii="华文中宋" w:hAnsi="华文中宋" w:eastAsia="华文中宋" w:cs="华文中宋"/>
          <w:snapToGrid w:val="0"/>
          <w:color w:val="000000"/>
          <w:spacing w:val="-5"/>
          <w:kern w:val="0"/>
          <w:sz w:val="32"/>
          <w:szCs w:val="32"/>
          <w:lang w:val="en-US" w:eastAsia="zh-CN" w:bidi="ar-SA"/>
        </w:rPr>
        <w:br w:type="page"/>
      </w:r>
    </w:p>
    <w:p w14:paraId="53848369">
      <w:pPr>
        <w:numPr>
          <w:ilvl w:val="0"/>
          <w:numId w:val="0"/>
        </w:numPr>
        <w:spacing w:before="172" w:line="323" w:lineRule="auto"/>
        <w:ind w:right="4" w:rightChars="0"/>
        <w:jc w:val="both"/>
        <w:rPr>
          <w:rFonts w:hint="eastAsia" w:ascii="华文中宋" w:hAnsi="华文中宋" w:eastAsia="华文中宋" w:cs="华文中宋"/>
          <w:b/>
          <w:bCs/>
          <w:snapToGrid w:val="0"/>
          <w:color w:val="000000"/>
          <w:spacing w:val="-5"/>
          <w:kern w:val="0"/>
          <w:sz w:val="32"/>
          <w:szCs w:val="32"/>
          <w:lang w:val="en-US" w:eastAsia="zh-CN" w:bidi="ar-SA"/>
        </w:rPr>
      </w:pPr>
      <w:r>
        <w:rPr>
          <w:rFonts w:hint="eastAsia" w:ascii="华文中宋" w:hAnsi="华文中宋" w:eastAsia="华文中宋" w:cs="华文中宋"/>
          <w:b/>
          <w:bCs/>
          <w:snapToGrid w:val="0"/>
          <w:color w:val="000000"/>
          <w:spacing w:val="-5"/>
          <w:kern w:val="0"/>
          <w:sz w:val="32"/>
          <w:szCs w:val="32"/>
          <w:lang w:val="en-US" w:eastAsia="zh-CN" w:bidi="ar-SA"/>
        </w:rPr>
        <w:t>五、竞赛日程</w:t>
      </w:r>
    </w:p>
    <w:p w14:paraId="50EFD6A3">
      <w:pPr>
        <w:numPr>
          <w:ilvl w:val="0"/>
          <w:numId w:val="0"/>
        </w:numPr>
        <w:spacing w:before="172" w:line="323" w:lineRule="auto"/>
        <w:ind w:right="4" w:rightChars="0" w:firstLine="620" w:firstLineChars="200"/>
        <w:jc w:val="both"/>
        <w:rPr>
          <w:rFonts w:hint="eastAsia" w:ascii="方正楷体_GB2312" w:hAnsi="方正楷体_GB2312" w:eastAsia="方正楷体_GB2312" w:cs="方正楷体_GB2312"/>
          <w:spacing w:val="-5"/>
          <w:sz w:val="32"/>
          <w:szCs w:val="32"/>
          <w:lang w:val="en-US" w:eastAsia="zh-CN"/>
        </w:rPr>
      </w:pPr>
      <w:r>
        <w:rPr>
          <w:rFonts w:hint="eastAsia" w:ascii="方正楷体_GB2312" w:hAnsi="方正楷体_GB2312" w:eastAsia="方正楷体_GB2312" w:cs="方正楷体_GB2312"/>
          <w:spacing w:val="-5"/>
          <w:sz w:val="32"/>
          <w:szCs w:val="32"/>
          <w:lang w:val="en-US" w:eastAsia="zh-CN"/>
        </w:rPr>
        <w:t>竞赛时间：2026年8月29日（周六）下午14:00-17:30</w:t>
      </w:r>
    </w:p>
    <w:p w14:paraId="6F04E4C9">
      <w:pPr>
        <w:numPr>
          <w:ilvl w:val="0"/>
          <w:numId w:val="0"/>
        </w:numPr>
        <w:spacing w:before="172" w:line="323" w:lineRule="auto"/>
        <w:ind w:right="4" w:rightChars="0" w:firstLine="620" w:firstLineChars="200"/>
        <w:jc w:val="both"/>
        <w:rPr>
          <w:rFonts w:hint="default" w:ascii="方正楷体_GB2312" w:hAnsi="方正楷体_GB2312" w:eastAsia="方正楷体_GB2312" w:cs="方正楷体_GB2312"/>
          <w:spacing w:val="-5"/>
          <w:sz w:val="32"/>
          <w:szCs w:val="32"/>
          <w:lang w:val="en-US" w:eastAsia="zh-CN"/>
        </w:rPr>
      </w:pPr>
      <w:r>
        <w:rPr>
          <w:rFonts w:hint="eastAsia" w:ascii="方正楷体_GB2312" w:hAnsi="方正楷体_GB2312" w:eastAsia="方正楷体_GB2312" w:cs="方正楷体_GB2312"/>
          <w:spacing w:val="-5"/>
          <w:sz w:val="32"/>
          <w:szCs w:val="32"/>
          <w:lang w:val="en-US" w:eastAsia="zh-CN"/>
        </w:rPr>
        <w:t>竞赛地址：深圳市龙岗区耳鼻咽喉医院科教楼3楼学术报告厅</w:t>
      </w:r>
    </w:p>
    <w:tbl>
      <w:tblPr>
        <w:tblStyle w:val="5"/>
        <w:tblW w:w="72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38"/>
        <w:gridCol w:w="5234"/>
      </w:tblGrid>
      <w:tr w14:paraId="04325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8" w:type="dxa"/>
            <w:tcBorders>
              <w:top w:val="single" w:color="4874CB" w:themeColor="accent1" w:sz="6" w:space="0"/>
              <w:left w:val="single" w:color="4874CB" w:themeColor="accent1" w:sz="6" w:space="0"/>
              <w:bottom w:val="single" w:color="E9E9E9" w:themeColor="background1" w:themeShade="EA" w:sz="6" w:space="0"/>
              <w:right w:val="single" w:color="4874CB" w:themeColor="accent1" w:sz="6" w:space="0"/>
            </w:tcBorders>
            <w:shd w:val="clear" w:color="auto" w:fill="4874CB" w:themeFill="accent1"/>
            <w:vAlign w:val="center"/>
          </w:tcPr>
          <w:p w14:paraId="71BC66FF">
            <w:pPr>
              <w:pStyle w:val="3"/>
              <w:keepNext w:val="0"/>
              <w:keepLines w:val="0"/>
              <w:widowControl/>
              <w:suppressLineNumbers w:val="0"/>
              <w:ind w:left="0" w:leftChars="0" w:right="0" w:rightChars="0"/>
              <w:jc w:val="center"/>
              <w:rPr>
                <w:rFonts w:hint="eastAsia" w:ascii="方正楷体_GB2312" w:hAnsi="方正楷体_GB2312" w:eastAsia="方正楷体_GB2312" w:cs="方正楷体_GB2312"/>
                <w:b/>
                <w:i w:val="0"/>
                <w:snapToGrid w:val="0"/>
                <w:color w:val="FFFFFF"/>
                <w:spacing w:val="-5"/>
                <w:kern w:val="0"/>
                <w:sz w:val="28"/>
                <w:szCs w:val="28"/>
                <w:lang w:val="en-US" w:eastAsia="zh-CN" w:bidi="ar-SA"/>
              </w:rPr>
            </w:pPr>
            <w:r>
              <w:rPr>
                <w:rFonts w:hint="eastAsia" w:ascii="方正楷体_GB2312" w:hAnsi="方正楷体_GB2312" w:eastAsia="方正楷体_GB2312" w:cs="方正楷体_GB2312"/>
                <w:b/>
                <w:i w:val="0"/>
                <w:snapToGrid w:val="0"/>
                <w:color w:val="FFFFFF"/>
                <w:spacing w:val="-5"/>
                <w:kern w:val="0"/>
                <w:sz w:val="28"/>
                <w:szCs w:val="28"/>
                <w:lang w:val="en-US" w:eastAsia="zh-CN" w:bidi="ar-SA"/>
              </w:rPr>
              <w:t>13:00-13:45</w:t>
            </w:r>
          </w:p>
        </w:tc>
        <w:tc>
          <w:tcPr>
            <w:tcW w:w="5234" w:type="dxa"/>
            <w:tcBorders>
              <w:top w:val="single" w:color="4874CB" w:themeColor="accent1" w:sz="6" w:space="0"/>
              <w:left w:val="single" w:color="4874CB" w:themeColor="accent1" w:sz="6" w:space="0"/>
              <w:bottom w:val="single" w:color="C8D5EF" w:themeColor="accent1" w:themeTint="4C" w:sz="6" w:space="0"/>
              <w:right w:val="nil"/>
            </w:tcBorders>
            <w:shd w:val="clear" w:color="auto" w:fill="EDF1F9" w:themeFill="accent1" w:themeFillTint="19"/>
            <w:vAlign w:val="center"/>
          </w:tcPr>
          <w:p w14:paraId="6063DC61">
            <w:pPr>
              <w:pStyle w:val="3"/>
              <w:keepNext w:val="0"/>
              <w:keepLines w:val="0"/>
              <w:widowControl/>
              <w:suppressLineNumbers w:val="0"/>
              <w:ind w:left="0" w:leftChars="0" w:right="0" w:rightChars="0"/>
              <w:jc w:val="center"/>
              <w:rPr>
                <w:rFonts w:hint="eastAsia" w:ascii="方正楷体_GB2312" w:hAnsi="方正楷体_GB2312" w:eastAsia="方正楷体_GB2312" w:cs="方正楷体_GB2312"/>
                <w:b w:val="0"/>
                <w:i w:val="0"/>
                <w:snapToGrid w:val="0"/>
                <w:color w:val="000000"/>
                <w:spacing w:val="-5"/>
                <w:kern w:val="0"/>
                <w:sz w:val="28"/>
                <w:szCs w:val="28"/>
                <w:lang w:val="en-US" w:eastAsia="zh-CN" w:bidi="ar-SA"/>
              </w:rPr>
            </w:pPr>
            <w:r>
              <w:rPr>
                <w:rFonts w:hint="eastAsia" w:ascii="方正楷体_GB2312" w:hAnsi="方正楷体_GB2312" w:eastAsia="方正楷体_GB2312" w:cs="方正楷体_GB2312"/>
                <w:b w:val="0"/>
                <w:i w:val="0"/>
                <w:snapToGrid w:val="0"/>
                <w:color w:val="000000"/>
                <w:spacing w:val="-5"/>
                <w:kern w:val="0"/>
                <w:sz w:val="28"/>
                <w:szCs w:val="28"/>
                <w:lang w:val="en-US" w:eastAsia="zh-CN" w:bidi="ar-SA"/>
              </w:rPr>
              <w:t>竞赛队伍签到及抽签</w:t>
            </w:r>
          </w:p>
        </w:tc>
      </w:tr>
      <w:tr w14:paraId="6C85B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8" w:type="dxa"/>
            <w:tcBorders>
              <w:top w:val="single" w:color="E9E9E9" w:themeColor="background1" w:themeShade="EA" w:sz="6" w:space="0"/>
              <w:left w:val="single" w:color="4874CB" w:themeColor="accent1" w:sz="6" w:space="0"/>
              <w:bottom w:val="single" w:color="E9E9E9" w:themeColor="background1" w:themeShade="EA" w:sz="6" w:space="0"/>
              <w:right w:val="single" w:color="4874CB" w:themeColor="accent1" w:sz="6" w:space="0"/>
            </w:tcBorders>
            <w:shd w:val="clear" w:color="auto" w:fill="4874CB" w:themeFill="accent1"/>
            <w:vAlign w:val="center"/>
          </w:tcPr>
          <w:p w14:paraId="107435F1">
            <w:pPr>
              <w:pStyle w:val="3"/>
              <w:keepNext w:val="0"/>
              <w:keepLines w:val="0"/>
              <w:widowControl/>
              <w:suppressLineNumbers w:val="0"/>
              <w:ind w:left="0" w:leftChars="0" w:right="0" w:rightChars="0"/>
              <w:jc w:val="center"/>
              <w:rPr>
                <w:rFonts w:hint="eastAsia" w:ascii="方正楷体_GB2312" w:hAnsi="方正楷体_GB2312" w:eastAsia="方正楷体_GB2312" w:cs="方正楷体_GB2312"/>
                <w:b/>
                <w:i w:val="0"/>
                <w:snapToGrid w:val="0"/>
                <w:color w:val="FFFFFF"/>
                <w:spacing w:val="-5"/>
                <w:kern w:val="0"/>
                <w:sz w:val="28"/>
                <w:szCs w:val="28"/>
                <w:lang w:val="en-US" w:eastAsia="zh-CN" w:bidi="ar-SA"/>
              </w:rPr>
            </w:pPr>
            <w:r>
              <w:rPr>
                <w:rFonts w:hint="eastAsia" w:ascii="方正楷体_GB2312" w:hAnsi="方正楷体_GB2312" w:eastAsia="方正楷体_GB2312" w:cs="方正楷体_GB2312"/>
                <w:b/>
                <w:i w:val="0"/>
                <w:snapToGrid w:val="0"/>
                <w:color w:val="FFFFFF"/>
                <w:spacing w:val="-5"/>
                <w:kern w:val="0"/>
                <w:sz w:val="28"/>
                <w:szCs w:val="28"/>
                <w:lang w:val="en-US" w:eastAsia="zh-CN" w:bidi="ar-SA"/>
              </w:rPr>
              <w:t>14:00-14:50</w:t>
            </w:r>
          </w:p>
        </w:tc>
        <w:tc>
          <w:tcPr>
            <w:tcW w:w="5234" w:type="dxa"/>
            <w:tcBorders>
              <w:top w:val="single" w:color="C8D5EF" w:themeColor="accent1" w:themeTint="4C" w:sz="6" w:space="0"/>
              <w:left w:val="single" w:color="4874CB" w:themeColor="accent1" w:sz="6" w:space="0"/>
              <w:bottom w:val="single" w:color="C8D5EF" w:themeColor="accent1" w:themeTint="4C" w:sz="6" w:space="0"/>
              <w:right w:val="nil"/>
            </w:tcBorders>
            <w:shd w:val="clear" w:color="auto" w:fill="FFFFFF"/>
            <w:vAlign w:val="center"/>
          </w:tcPr>
          <w:p w14:paraId="00BBAE22">
            <w:pPr>
              <w:pStyle w:val="3"/>
              <w:keepNext w:val="0"/>
              <w:keepLines w:val="0"/>
              <w:widowControl/>
              <w:suppressLineNumbers w:val="0"/>
              <w:ind w:left="0" w:leftChars="0" w:right="0" w:rightChars="0"/>
              <w:jc w:val="center"/>
              <w:rPr>
                <w:rFonts w:hint="eastAsia" w:ascii="方正楷体_GB2312" w:hAnsi="方正楷体_GB2312" w:eastAsia="方正楷体_GB2312" w:cs="方正楷体_GB2312"/>
                <w:b w:val="0"/>
                <w:i w:val="0"/>
                <w:snapToGrid w:val="0"/>
                <w:color w:val="000000"/>
                <w:spacing w:val="-5"/>
                <w:kern w:val="0"/>
                <w:sz w:val="28"/>
                <w:szCs w:val="28"/>
                <w:lang w:val="en-US" w:eastAsia="zh-CN" w:bidi="ar-SA"/>
              </w:rPr>
            </w:pPr>
            <w:r>
              <w:rPr>
                <w:rFonts w:hint="eastAsia" w:ascii="方正楷体_GB2312" w:hAnsi="方正楷体_GB2312" w:eastAsia="方正楷体_GB2312" w:cs="方正楷体_GB2312"/>
                <w:b w:val="0"/>
                <w:i w:val="0"/>
                <w:snapToGrid w:val="0"/>
                <w:color w:val="000000"/>
                <w:spacing w:val="-5"/>
                <w:kern w:val="0"/>
                <w:sz w:val="28"/>
                <w:szCs w:val="28"/>
                <w:lang w:val="en-US" w:eastAsia="zh-CN" w:bidi="ar-SA"/>
              </w:rPr>
              <w:t>第一轮理论知识竞赛</w:t>
            </w:r>
          </w:p>
        </w:tc>
      </w:tr>
      <w:tr w14:paraId="7A3A0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8" w:type="dxa"/>
            <w:tcBorders>
              <w:top w:val="single" w:color="E9E9E9" w:themeColor="background1" w:themeShade="EA" w:sz="6" w:space="0"/>
              <w:left w:val="single" w:color="4874CB" w:themeColor="accent1" w:sz="6" w:space="0"/>
              <w:bottom w:val="single" w:color="E9E9E9" w:themeColor="background1" w:themeShade="EA" w:sz="6" w:space="0"/>
              <w:right w:val="single" w:color="4874CB" w:themeColor="accent1" w:sz="6" w:space="0"/>
            </w:tcBorders>
            <w:shd w:val="clear" w:color="auto" w:fill="4874CB" w:themeFill="accent1"/>
            <w:vAlign w:val="center"/>
          </w:tcPr>
          <w:p w14:paraId="56342C35">
            <w:pPr>
              <w:pStyle w:val="3"/>
              <w:keepNext w:val="0"/>
              <w:keepLines w:val="0"/>
              <w:widowControl/>
              <w:suppressLineNumbers w:val="0"/>
              <w:ind w:left="0" w:leftChars="0" w:right="0" w:rightChars="0"/>
              <w:jc w:val="center"/>
              <w:rPr>
                <w:rFonts w:hint="eastAsia" w:ascii="方正楷体_GB2312" w:hAnsi="方正楷体_GB2312" w:eastAsia="方正楷体_GB2312" w:cs="方正楷体_GB2312"/>
                <w:b/>
                <w:i w:val="0"/>
                <w:snapToGrid w:val="0"/>
                <w:color w:val="FFFFFF"/>
                <w:spacing w:val="-5"/>
                <w:kern w:val="0"/>
                <w:sz w:val="28"/>
                <w:szCs w:val="28"/>
                <w:lang w:val="en-US" w:eastAsia="zh-CN" w:bidi="ar-SA"/>
              </w:rPr>
            </w:pPr>
            <w:r>
              <w:rPr>
                <w:rFonts w:hint="eastAsia" w:ascii="方正楷体_GB2312" w:hAnsi="方正楷体_GB2312" w:eastAsia="方正楷体_GB2312" w:cs="方正楷体_GB2312"/>
                <w:b/>
                <w:i w:val="0"/>
                <w:snapToGrid w:val="0"/>
                <w:color w:val="FFFFFF"/>
                <w:spacing w:val="-5"/>
                <w:kern w:val="0"/>
                <w:sz w:val="28"/>
                <w:szCs w:val="28"/>
                <w:lang w:val="en-US" w:eastAsia="zh-CN" w:bidi="ar-SA"/>
              </w:rPr>
              <w:t>14:50-15:40</w:t>
            </w:r>
          </w:p>
        </w:tc>
        <w:tc>
          <w:tcPr>
            <w:tcW w:w="5234" w:type="dxa"/>
            <w:tcBorders>
              <w:top w:val="single" w:color="C8D5EF" w:themeColor="accent1" w:themeTint="4C" w:sz="6" w:space="0"/>
              <w:left w:val="single" w:color="4874CB" w:themeColor="accent1" w:sz="6" w:space="0"/>
              <w:bottom w:val="single" w:color="C8D5EF" w:themeColor="accent1" w:themeTint="4C" w:sz="6" w:space="0"/>
              <w:right w:val="nil"/>
            </w:tcBorders>
            <w:shd w:val="clear" w:color="auto" w:fill="EDF1F9" w:themeFill="accent1" w:themeFillTint="19"/>
            <w:vAlign w:val="center"/>
          </w:tcPr>
          <w:p w14:paraId="25BE2C2C">
            <w:pPr>
              <w:pStyle w:val="3"/>
              <w:keepNext w:val="0"/>
              <w:keepLines w:val="0"/>
              <w:widowControl/>
              <w:suppressLineNumbers w:val="0"/>
              <w:ind w:left="0" w:leftChars="0" w:right="0" w:rightChars="0"/>
              <w:jc w:val="center"/>
              <w:rPr>
                <w:rFonts w:hint="eastAsia" w:ascii="方正楷体_GB2312" w:hAnsi="方正楷体_GB2312" w:eastAsia="方正楷体_GB2312" w:cs="方正楷体_GB2312"/>
                <w:b w:val="0"/>
                <w:i w:val="0"/>
                <w:snapToGrid w:val="0"/>
                <w:color w:val="000000"/>
                <w:spacing w:val="-5"/>
                <w:kern w:val="0"/>
                <w:sz w:val="28"/>
                <w:szCs w:val="28"/>
                <w:lang w:val="en-US" w:eastAsia="zh-CN" w:bidi="ar-SA"/>
              </w:rPr>
            </w:pPr>
            <w:r>
              <w:rPr>
                <w:rFonts w:hint="eastAsia" w:ascii="方正楷体_GB2312" w:hAnsi="方正楷体_GB2312" w:eastAsia="方正楷体_GB2312" w:cs="方正楷体_GB2312"/>
                <w:b w:val="0"/>
                <w:i w:val="0"/>
                <w:snapToGrid w:val="0"/>
                <w:color w:val="000000"/>
                <w:spacing w:val="-5"/>
                <w:kern w:val="0"/>
                <w:sz w:val="28"/>
                <w:szCs w:val="28"/>
                <w:lang w:val="en-US" w:eastAsia="zh-CN" w:bidi="ar-SA"/>
              </w:rPr>
              <w:t>第二轮理论知识竞赛</w:t>
            </w:r>
          </w:p>
        </w:tc>
      </w:tr>
      <w:tr w14:paraId="70B6D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8" w:type="dxa"/>
            <w:tcBorders>
              <w:top w:val="single" w:color="E9E9E9" w:themeColor="background1" w:themeShade="EA" w:sz="6" w:space="0"/>
              <w:left w:val="single" w:color="4874CB" w:themeColor="accent1" w:sz="6" w:space="0"/>
              <w:bottom w:val="single" w:color="E9E9E9" w:themeColor="background1" w:themeShade="EA" w:sz="6" w:space="0"/>
              <w:right w:val="single" w:color="4874CB" w:themeColor="accent1" w:sz="6" w:space="0"/>
            </w:tcBorders>
            <w:shd w:val="clear" w:color="auto" w:fill="4874CB" w:themeFill="accent1"/>
            <w:vAlign w:val="center"/>
          </w:tcPr>
          <w:p w14:paraId="1FF27FE0">
            <w:pPr>
              <w:pStyle w:val="3"/>
              <w:keepNext w:val="0"/>
              <w:keepLines w:val="0"/>
              <w:widowControl/>
              <w:suppressLineNumbers w:val="0"/>
              <w:ind w:left="0" w:leftChars="0" w:right="0" w:rightChars="0"/>
              <w:jc w:val="center"/>
              <w:rPr>
                <w:rFonts w:hint="eastAsia" w:ascii="方正楷体_GB2312" w:hAnsi="方正楷体_GB2312" w:eastAsia="方正楷体_GB2312" w:cs="方正楷体_GB2312"/>
                <w:b/>
                <w:i w:val="0"/>
                <w:snapToGrid w:val="0"/>
                <w:color w:val="FFFFFF"/>
                <w:spacing w:val="-5"/>
                <w:kern w:val="0"/>
                <w:sz w:val="28"/>
                <w:szCs w:val="28"/>
                <w:lang w:val="en-US" w:eastAsia="zh-CN" w:bidi="ar-SA"/>
              </w:rPr>
            </w:pPr>
            <w:r>
              <w:rPr>
                <w:rFonts w:hint="eastAsia" w:ascii="方正楷体_GB2312" w:hAnsi="方正楷体_GB2312" w:eastAsia="方正楷体_GB2312" w:cs="方正楷体_GB2312"/>
                <w:b/>
                <w:i w:val="0"/>
                <w:snapToGrid w:val="0"/>
                <w:color w:val="FFFFFF"/>
                <w:spacing w:val="-5"/>
                <w:kern w:val="0"/>
                <w:sz w:val="28"/>
                <w:szCs w:val="28"/>
                <w:lang w:val="en-US" w:eastAsia="zh-CN" w:bidi="ar-SA"/>
              </w:rPr>
              <w:t>15:00-15:30</w:t>
            </w:r>
          </w:p>
        </w:tc>
        <w:tc>
          <w:tcPr>
            <w:tcW w:w="5234" w:type="dxa"/>
            <w:tcBorders>
              <w:top w:val="single" w:color="C8D5EF" w:themeColor="accent1" w:themeTint="4C" w:sz="6" w:space="0"/>
              <w:left w:val="single" w:color="4874CB" w:themeColor="accent1" w:sz="6" w:space="0"/>
              <w:bottom w:val="single" w:color="C8D5EF" w:themeColor="accent1" w:themeTint="4C" w:sz="6" w:space="0"/>
              <w:right w:val="nil"/>
            </w:tcBorders>
            <w:shd w:val="clear" w:color="auto" w:fill="FFFFFF"/>
            <w:vAlign w:val="center"/>
          </w:tcPr>
          <w:p w14:paraId="717D6BE2">
            <w:pPr>
              <w:pStyle w:val="3"/>
              <w:keepNext w:val="0"/>
              <w:keepLines w:val="0"/>
              <w:widowControl/>
              <w:suppressLineNumbers w:val="0"/>
              <w:ind w:left="0" w:leftChars="0" w:right="0" w:rightChars="0"/>
              <w:jc w:val="center"/>
              <w:rPr>
                <w:rFonts w:hint="eastAsia" w:ascii="方正楷体_GB2312" w:hAnsi="方正楷体_GB2312" w:eastAsia="方正楷体_GB2312" w:cs="方正楷体_GB2312"/>
                <w:b w:val="0"/>
                <w:i w:val="0"/>
                <w:snapToGrid w:val="0"/>
                <w:color w:val="000000"/>
                <w:spacing w:val="-5"/>
                <w:kern w:val="0"/>
                <w:sz w:val="28"/>
                <w:szCs w:val="28"/>
                <w:lang w:val="en-US" w:eastAsia="zh-CN" w:bidi="ar-SA"/>
              </w:rPr>
            </w:pPr>
            <w:r>
              <w:rPr>
                <w:rFonts w:hint="eastAsia" w:ascii="方正楷体_GB2312" w:hAnsi="方正楷体_GB2312" w:eastAsia="方正楷体_GB2312" w:cs="方正楷体_GB2312"/>
                <w:b w:val="0"/>
                <w:i w:val="0"/>
                <w:snapToGrid w:val="0"/>
                <w:color w:val="000000"/>
                <w:spacing w:val="-5"/>
                <w:kern w:val="0"/>
                <w:sz w:val="28"/>
                <w:szCs w:val="28"/>
                <w:lang w:val="en-US" w:eastAsia="zh-CN" w:bidi="ar-SA"/>
              </w:rPr>
              <w:t>技能竞赛裁判签到及培训</w:t>
            </w:r>
          </w:p>
        </w:tc>
      </w:tr>
      <w:tr w14:paraId="1C5BB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8" w:type="dxa"/>
            <w:tcBorders>
              <w:top w:val="single" w:color="E9E9E9" w:themeColor="background1" w:themeShade="EA" w:sz="6" w:space="0"/>
              <w:left w:val="single" w:color="4874CB" w:themeColor="accent1" w:sz="6" w:space="0"/>
              <w:bottom w:val="single" w:color="E9E9E9" w:themeColor="background1" w:themeShade="EA" w:sz="6" w:space="0"/>
              <w:right w:val="single" w:color="4874CB" w:themeColor="accent1" w:sz="6" w:space="0"/>
            </w:tcBorders>
            <w:shd w:val="clear" w:color="auto" w:fill="4874CB" w:themeFill="accent1"/>
            <w:vAlign w:val="center"/>
          </w:tcPr>
          <w:p w14:paraId="7555BC10">
            <w:pPr>
              <w:pStyle w:val="3"/>
              <w:keepNext w:val="0"/>
              <w:keepLines w:val="0"/>
              <w:widowControl/>
              <w:suppressLineNumbers w:val="0"/>
              <w:ind w:left="0" w:leftChars="0" w:right="0" w:rightChars="0"/>
              <w:jc w:val="center"/>
              <w:rPr>
                <w:rFonts w:hint="default" w:ascii="方正楷体_GB2312" w:hAnsi="方正楷体_GB2312" w:eastAsia="方正楷体_GB2312" w:cs="方正楷体_GB2312"/>
                <w:b/>
                <w:i w:val="0"/>
                <w:snapToGrid w:val="0"/>
                <w:color w:val="FFFFFF"/>
                <w:spacing w:val="-5"/>
                <w:kern w:val="0"/>
                <w:sz w:val="28"/>
                <w:szCs w:val="28"/>
                <w:lang w:val="en-US" w:eastAsia="zh-CN" w:bidi="ar-SA"/>
              </w:rPr>
            </w:pPr>
            <w:r>
              <w:rPr>
                <w:rFonts w:hint="eastAsia" w:ascii="方正楷体_GB2312" w:hAnsi="方正楷体_GB2312" w:eastAsia="方正楷体_GB2312" w:cs="方正楷体_GB2312"/>
                <w:b/>
                <w:i w:val="0"/>
                <w:snapToGrid w:val="0"/>
                <w:color w:val="FFFFFF"/>
                <w:spacing w:val="-5"/>
                <w:kern w:val="0"/>
                <w:sz w:val="28"/>
                <w:szCs w:val="28"/>
                <w:lang w:val="en-US" w:eastAsia="zh-CN" w:bidi="ar-SA"/>
              </w:rPr>
              <w:t>15:40-15:50</w:t>
            </w:r>
          </w:p>
        </w:tc>
        <w:tc>
          <w:tcPr>
            <w:tcW w:w="5234" w:type="dxa"/>
            <w:tcBorders>
              <w:top w:val="single" w:color="C8D5EF" w:themeColor="accent1" w:themeTint="4C" w:sz="6" w:space="0"/>
              <w:left w:val="single" w:color="4874CB" w:themeColor="accent1" w:sz="6" w:space="0"/>
              <w:bottom w:val="single" w:color="C8D5EF" w:themeColor="accent1" w:themeTint="4C" w:sz="6" w:space="0"/>
              <w:right w:val="nil"/>
            </w:tcBorders>
            <w:shd w:val="clear" w:color="auto" w:fill="EDF1F9" w:themeFill="accent1" w:themeFillTint="19"/>
            <w:vAlign w:val="center"/>
          </w:tcPr>
          <w:p w14:paraId="47C6FE59">
            <w:pPr>
              <w:pStyle w:val="3"/>
              <w:keepNext w:val="0"/>
              <w:keepLines w:val="0"/>
              <w:widowControl/>
              <w:suppressLineNumbers w:val="0"/>
              <w:ind w:left="0" w:leftChars="0" w:right="0" w:rightChars="0"/>
              <w:jc w:val="center"/>
              <w:rPr>
                <w:rFonts w:hint="eastAsia" w:ascii="方正楷体_GB2312" w:hAnsi="方正楷体_GB2312" w:eastAsia="方正楷体_GB2312" w:cs="方正楷体_GB2312"/>
                <w:b w:val="0"/>
                <w:i w:val="0"/>
                <w:snapToGrid w:val="0"/>
                <w:color w:val="000000"/>
                <w:spacing w:val="-5"/>
                <w:kern w:val="0"/>
                <w:sz w:val="28"/>
                <w:szCs w:val="28"/>
                <w:lang w:val="en-US" w:eastAsia="zh-CN" w:bidi="ar-SA"/>
              </w:rPr>
            </w:pPr>
            <w:r>
              <w:rPr>
                <w:rFonts w:hint="eastAsia" w:ascii="方正楷体_GB2312" w:hAnsi="方正楷体_GB2312" w:eastAsia="方正楷体_GB2312" w:cs="方正楷体_GB2312"/>
                <w:b w:val="0"/>
                <w:i w:val="0"/>
                <w:snapToGrid w:val="0"/>
                <w:color w:val="000000"/>
                <w:spacing w:val="-5"/>
                <w:kern w:val="0"/>
                <w:sz w:val="28"/>
                <w:szCs w:val="28"/>
                <w:lang w:val="en-US" w:eastAsia="zh-CN" w:bidi="ar-SA"/>
              </w:rPr>
              <w:t>技能竞赛队伍候考场集合</w:t>
            </w:r>
          </w:p>
        </w:tc>
      </w:tr>
      <w:tr w14:paraId="7CEE9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8" w:type="dxa"/>
            <w:tcBorders>
              <w:top w:val="single" w:color="E9E9E9" w:themeColor="background1" w:themeShade="EA" w:sz="6" w:space="0"/>
              <w:left w:val="single" w:color="4874CB" w:themeColor="accent1" w:sz="6" w:space="0"/>
              <w:bottom w:val="single" w:color="E9E9E9" w:themeColor="background1" w:themeShade="EA" w:sz="6" w:space="0"/>
              <w:right w:val="single" w:color="4874CB" w:themeColor="accent1" w:sz="6" w:space="0"/>
            </w:tcBorders>
            <w:shd w:val="clear" w:color="auto" w:fill="4874CB" w:themeFill="accent1"/>
            <w:vAlign w:val="center"/>
          </w:tcPr>
          <w:p w14:paraId="46EB0A0C">
            <w:pPr>
              <w:pStyle w:val="3"/>
              <w:keepNext w:val="0"/>
              <w:keepLines w:val="0"/>
              <w:widowControl/>
              <w:suppressLineNumbers w:val="0"/>
              <w:ind w:left="0" w:leftChars="0" w:right="0" w:rightChars="0"/>
              <w:jc w:val="center"/>
              <w:rPr>
                <w:rFonts w:hint="default" w:ascii="方正楷体_GB2312" w:hAnsi="方正楷体_GB2312" w:eastAsia="方正楷体_GB2312" w:cs="方正楷体_GB2312"/>
                <w:b/>
                <w:i w:val="0"/>
                <w:snapToGrid w:val="0"/>
                <w:color w:val="FFFFFF"/>
                <w:spacing w:val="-5"/>
                <w:kern w:val="0"/>
                <w:sz w:val="28"/>
                <w:szCs w:val="28"/>
                <w:lang w:val="en-US" w:eastAsia="zh-CN" w:bidi="ar-SA"/>
              </w:rPr>
            </w:pPr>
            <w:r>
              <w:rPr>
                <w:rFonts w:hint="eastAsia" w:ascii="方正楷体_GB2312" w:hAnsi="方正楷体_GB2312" w:eastAsia="方正楷体_GB2312" w:cs="方正楷体_GB2312"/>
                <w:b/>
                <w:i w:val="0"/>
                <w:snapToGrid w:val="0"/>
                <w:color w:val="FFFFFF"/>
                <w:spacing w:val="-5"/>
                <w:kern w:val="0"/>
                <w:sz w:val="28"/>
                <w:szCs w:val="28"/>
                <w:lang w:val="en-US" w:eastAsia="zh-CN" w:bidi="ar-SA"/>
              </w:rPr>
              <w:t>15:50-16:20</w:t>
            </w:r>
          </w:p>
        </w:tc>
        <w:tc>
          <w:tcPr>
            <w:tcW w:w="5234" w:type="dxa"/>
            <w:tcBorders>
              <w:top w:val="single" w:color="C8D5EF" w:themeColor="accent1" w:themeTint="4C" w:sz="6" w:space="0"/>
              <w:left w:val="single" w:color="4874CB" w:themeColor="accent1" w:sz="6" w:space="0"/>
              <w:bottom w:val="single" w:color="C8D5EF" w:themeColor="accent1" w:themeTint="4C" w:sz="6" w:space="0"/>
              <w:right w:val="nil"/>
            </w:tcBorders>
            <w:shd w:val="clear" w:color="auto" w:fill="FFFFFF"/>
            <w:vAlign w:val="center"/>
          </w:tcPr>
          <w:p w14:paraId="512EA19F">
            <w:pPr>
              <w:pStyle w:val="3"/>
              <w:keepNext w:val="0"/>
              <w:keepLines w:val="0"/>
              <w:widowControl/>
              <w:suppressLineNumbers w:val="0"/>
              <w:ind w:left="0" w:leftChars="0" w:right="0" w:rightChars="0"/>
              <w:jc w:val="center"/>
              <w:rPr>
                <w:rFonts w:hint="eastAsia" w:ascii="方正楷体_GB2312" w:hAnsi="方正楷体_GB2312" w:eastAsia="方正楷体_GB2312" w:cs="方正楷体_GB2312"/>
                <w:b w:val="0"/>
                <w:i w:val="0"/>
                <w:snapToGrid w:val="0"/>
                <w:color w:val="000000"/>
                <w:spacing w:val="-5"/>
                <w:kern w:val="0"/>
                <w:sz w:val="28"/>
                <w:szCs w:val="28"/>
                <w:lang w:val="en-US" w:eastAsia="zh-CN" w:bidi="ar-SA"/>
              </w:rPr>
            </w:pPr>
            <w:r>
              <w:rPr>
                <w:rFonts w:hint="eastAsia" w:ascii="方正楷体_GB2312" w:hAnsi="方正楷体_GB2312" w:eastAsia="方正楷体_GB2312" w:cs="方正楷体_GB2312"/>
                <w:b w:val="0"/>
                <w:i w:val="0"/>
                <w:snapToGrid w:val="0"/>
                <w:color w:val="000000"/>
                <w:spacing w:val="-5"/>
                <w:kern w:val="0"/>
                <w:sz w:val="28"/>
                <w:szCs w:val="28"/>
                <w:lang w:val="en-US" w:eastAsia="zh-CN" w:bidi="ar-SA"/>
              </w:rPr>
              <w:t>第一轮技能竞赛</w:t>
            </w:r>
          </w:p>
        </w:tc>
      </w:tr>
      <w:tr w14:paraId="41E5F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8" w:type="dxa"/>
            <w:tcBorders>
              <w:top w:val="single" w:color="E9E9E9" w:themeColor="background1" w:themeShade="EA" w:sz="6" w:space="0"/>
              <w:left w:val="single" w:color="4874CB" w:themeColor="accent1" w:sz="6" w:space="0"/>
              <w:bottom w:val="single" w:color="E9E9E9" w:themeColor="background1" w:themeShade="EA" w:sz="6" w:space="0"/>
              <w:right w:val="single" w:color="4874CB" w:themeColor="accent1" w:sz="6" w:space="0"/>
            </w:tcBorders>
            <w:shd w:val="clear" w:color="auto" w:fill="4874CB" w:themeFill="accent1"/>
            <w:vAlign w:val="center"/>
          </w:tcPr>
          <w:p w14:paraId="76880D5D">
            <w:pPr>
              <w:pStyle w:val="3"/>
              <w:keepNext w:val="0"/>
              <w:keepLines w:val="0"/>
              <w:widowControl/>
              <w:suppressLineNumbers w:val="0"/>
              <w:ind w:left="0" w:leftChars="0" w:right="0" w:rightChars="0"/>
              <w:jc w:val="center"/>
              <w:rPr>
                <w:rFonts w:hint="default" w:ascii="方正楷体_GB2312" w:hAnsi="方正楷体_GB2312" w:eastAsia="方正楷体_GB2312" w:cs="方正楷体_GB2312"/>
                <w:b/>
                <w:i w:val="0"/>
                <w:snapToGrid w:val="0"/>
                <w:color w:val="FFFFFF"/>
                <w:spacing w:val="-5"/>
                <w:kern w:val="0"/>
                <w:sz w:val="28"/>
                <w:szCs w:val="28"/>
                <w:lang w:val="en-US" w:eastAsia="zh-CN" w:bidi="ar-SA"/>
              </w:rPr>
            </w:pPr>
            <w:r>
              <w:rPr>
                <w:rFonts w:hint="eastAsia" w:ascii="方正楷体_GB2312" w:hAnsi="方正楷体_GB2312" w:eastAsia="方正楷体_GB2312" w:cs="方正楷体_GB2312"/>
                <w:b/>
                <w:i w:val="0"/>
                <w:snapToGrid w:val="0"/>
                <w:color w:val="FFFFFF"/>
                <w:spacing w:val="-5"/>
                <w:kern w:val="0"/>
                <w:sz w:val="28"/>
                <w:szCs w:val="28"/>
                <w:lang w:val="en-US" w:eastAsia="zh-CN" w:bidi="ar-SA"/>
              </w:rPr>
              <w:t>16:20-16:30</w:t>
            </w:r>
          </w:p>
        </w:tc>
        <w:tc>
          <w:tcPr>
            <w:tcW w:w="5234" w:type="dxa"/>
            <w:tcBorders>
              <w:top w:val="single" w:color="C8D5EF" w:themeColor="accent1" w:themeTint="4C" w:sz="6" w:space="0"/>
              <w:left w:val="single" w:color="4874CB" w:themeColor="accent1" w:sz="6" w:space="0"/>
              <w:bottom w:val="single" w:color="C8D5EF" w:themeColor="accent1" w:themeTint="4C" w:sz="6" w:space="0"/>
              <w:right w:val="nil"/>
            </w:tcBorders>
            <w:shd w:val="clear" w:color="auto" w:fill="EDF1F9" w:themeFill="accent1" w:themeFillTint="19"/>
            <w:vAlign w:val="center"/>
          </w:tcPr>
          <w:p w14:paraId="4D5EE427">
            <w:pPr>
              <w:pStyle w:val="3"/>
              <w:keepNext w:val="0"/>
              <w:keepLines w:val="0"/>
              <w:widowControl/>
              <w:suppressLineNumbers w:val="0"/>
              <w:ind w:left="0" w:leftChars="0" w:right="0" w:rightChars="0"/>
              <w:jc w:val="center"/>
              <w:rPr>
                <w:rFonts w:hint="eastAsia" w:ascii="方正楷体_GB2312" w:hAnsi="方正楷体_GB2312" w:eastAsia="方正楷体_GB2312" w:cs="方正楷体_GB2312"/>
                <w:b w:val="0"/>
                <w:i w:val="0"/>
                <w:snapToGrid w:val="0"/>
                <w:color w:val="000000"/>
                <w:spacing w:val="-5"/>
                <w:kern w:val="0"/>
                <w:sz w:val="28"/>
                <w:szCs w:val="28"/>
                <w:lang w:val="en-US" w:eastAsia="zh-CN" w:bidi="ar-SA"/>
              </w:rPr>
            </w:pPr>
            <w:r>
              <w:rPr>
                <w:rFonts w:hint="eastAsia" w:ascii="方正楷体_GB2312" w:hAnsi="方正楷体_GB2312" w:eastAsia="方正楷体_GB2312" w:cs="方正楷体_GB2312"/>
                <w:b w:val="0"/>
                <w:i w:val="0"/>
                <w:snapToGrid w:val="0"/>
                <w:color w:val="000000"/>
                <w:spacing w:val="-5"/>
                <w:kern w:val="0"/>
                <w:sz w:val="28"/>
                <w:szCs w:val="28"/>
                <w:lang w:val="en-US" w:eastAsia="zh-CN" w:bidi="ar-SA"/>
              </w:rPr>
              <w:t>换场准备</w:t>
            </w:r>
          </w:p>
        </w:tc>
      </w:tr>
      <w:tr w14:paraId="38274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8" w:type="dxa"/>
            <w:tcBorders>
              <w:top w:val="single" w:color="E9E9E9" w:themeColor="background1" w:themeShade="EA" w:sz="6" w:space="0"/>
              <w:left w:val="single" w:color="4874CB" w:themeColor="accent1" w:sz="6" w:space="0"/>
              <w:bottom w:val="single" w:color="E9E9E9" w:themeColor="background1" w:themeShade="EA" w:sz="6" w:space="0"/>
              <w:right w:val="single" w:color="4874CB" w:themeColor="accent1" w:sz="6" w:space="0"/>
            </w:tcBorders>
            <w:shd w:val="clear" w:color="auto" w:fill="4874CB" w:themeFill="accent1"/>
            <w:vAlign w:val="center"/>
          </w:tcPr>
          <w:p w14:paraId="0E73AD9E">
            <w:pPr>
              <w:pStyle w:val="3"/>
              <w:keepNext w:val="0"/>
              <w:keepLines w:val="0"/>
              <w:widowControl/>
              <w:suppressLineNumbers w:val="0"/>
              <w:ind w:left="0" w:leftChars="0" w:right="0" w:rightChars="0"/>
              <w:jc w:val="center"/>
              <w:rPr>
                <w:rFonts w:hint="default" w:ascii="方正楷体_GB2312" w:hAnsi="方正楷体_GB2312" w:eastAsia="方正楷体_GB2312" w:cs="方正楷体_GB2312"/>
                <w:b/>
                <w:i w:val="0"/>
                <w:snapToGrid w:val="0"/>
                <w:color w:val="FFFFFF"/>
                <w:spacing w:val="-5"/>
                <w:kern w:val="0"/>
                <w:sz w:val="28"/>
                <w:szCs w:val="28"/>
                <w:lang w:val="en-US" w:eastAsia="zh-CN" w:bidi="ar-SA"/>
              </w:rPr>
            </w:pPr>
            <w:r>
              <w:rPr>
                <w:rFonts w:hint="eastAsia" w:ascii="方正楷体_GB2312" w:hAnsi="方正楷体_GB2312" w:eastAsia="方正楷体_GB2312" w:cs="方正楷体_GB2312"/>
                <w:b/>
                <w:i w:val="0"/>
                <w:snapToGrid w:val="0"/>
                <w:color w:val="FFFFFF"/>
                <w:spacing w:val="-5"/>
                <w:kern w:val="0"/>
                <w:sz w:val="28"/>
                <w:szCs w:val="28"/>
                <w:lang w:val="en-US" w:eastAsia="zh-CN" w:bidi="ar-SA"/>
              </w:rPr>
              <w:t>16:30-17:00</w:t>
            </w:r>
          </w:p>
        </w:tc>
        <w:tc>
          <w:tcPr>
            <w:tcW w:w="5234" w:type="dxa"/>
            <w:tcBorders>
              <w:top w:val="single" w:color="C8D5EF" w:themeColor="accent1" w:themeTint="4C" w:sz="6" w:space="0"/>
              <w:left w:val="single" w:color="4874CB" w:themeColor="accent1" w:sz="6" w:space="0"/>
              <w:bottom w:val="single" w:color="C8D5EF" w:themeColor="accent1" w:themeTint="4C" w:sz="6" w:space="0"/>
              <w:right w:val="nil"/>
            </w:tcBorders>
            <w:shd w:val="clear" w:color="auto" w:fill="FFFFFF"/>
            <w:vAlign w:val="center"/>
          </w:tcPr>
          <w:p w14:paraId="19880C56">
            <w:pPr>
              <w:pStyle w:val="3"/>
              <w:keepNext w:val="0"/>
              <w:keepLines w:val="0"/>
              <w:widowControl/>
              <w:suppressLineNumbers w:val="0"/>
              <w:ind w:left="0" w:leftChars="0" w:right="0" w:rightChars="0"/>
              <w:jc w:val="center"/>
              <w:rPr>
                <w:rFonts w:hint="eastAsia" w:ascii="方正楷体_GB2312" w:hAnsi="方正楷体_GB2312" w:eastAsia="方正楷体_GB2312" w:cs="方正楷体_GB2312"/>
                <w:b w:val="0"/>
                <w:i w:val="0"/>
                <w:snapToGrid w:val="0"/>
                <w:color w:val="000000"/>
                <w:spacing w:val="-5"/>
                <w:kern w:val="0"/>
                <w:sz w:val="28"/>
                <w:szCs w:val="28"/>
                <w:lang w:val="en-US" w:eastAsia="zh-CN" w:bidi="ar-SA"/>
              </w:rPr>
            </w:pPr>
            <w:r>
              <w:rPr>
                <w:rFonts w:hint="eastAsia" w:ascii="方正楷体_GB2312" w:hAnsi="方正楷体_GB2312" w:eastAsia="方正楷体_GB2312" w:cs="方正楷体_GB2312"/>
                <w:b w:val="0"/>
                <w:i w:val="0"/>
                <w:snapToGrid w:val="0"/>
                <w:color w:val="000000"/>
                <w:spacing w:val="-5"/>
                <w:kern w:val="0"/>
                <w:sz w:val="28"/>
                <w:szCs w:val="28"/>
                <w:lang w:val="en-US" w:eastAsia="zh-CN" w:bidi="ar-SA"/>
              </w:rPr>
              <w:t>第二轮技能竞赛</w:t>
            </w:r>
          </w:p>
        </w:tc>
      </w:tr>
      <w:tr w14:paraId="39D2D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8" w:type="dxa"/>
            <w:tcBorders>
              <w:top w:val="single" w:color="E9E9E9" w:themeColor="background1" w:themeShade="EA" w:sz="6" w:space="0"/>
              <w:left w:val="single" w:color="4874CB" w:themeColor="accent1" w:sz="6" w:space="0"/>
              <w:bottom w:val="single" w:color="E9E9E9" w:themeColor="background1" w:themeShade="EA" w:sz="6" w:space="0"/>
              <w:right w:val="single" w:color="4874CB" w:themeColor="accent1" w:sz="6" w:space="0"/>
            </w:tcBorders>
            <w:shd w:val="clear" w:color="auto" w:fill="4874CB" w:themeFill="accent1"/>
            <w:vAlign w:val="center"/>
          </w:tcPr>
          <w:p w14:paraId="03A5DD34">
            <w:pPr>
              <w:pStyle w:val="3"/>
              <w:keepNext w:val="0"/>
              <w:keepLines w:val="0"/>
              <w:widowControl/>
              <w:suppressLineNumbers w:val="0"/>
              <w:ind w:left="0" w:leftChars="0" w:right="0" w:rightChars="0"/>
              <w:jc w:val="center"/>
              <w:rPr>
                <w:rFonts w:hint="default" w:ascii="方正楷体_GB2312" w:hAnsi="方正楷体_GB2312" w:eastAsia="方正楷体_GB2312" w:cs="方正楷体_GB2312"/>
                <w:b/>
                <w:i w:val="0"/>
                <w:snapToGrid w:val="0"/>
                <w:color w:val="FFFFFF"/>
                <w:spacing w:val="-5"/>
                <w:kern w:val="0"/>
                <w:sz w:val="28"/>
                <w:szCs w:val="28"/>
                <w:lang w:val="en-US" w:eastAsia="zh-CN" w:bidi="ar-SA"/>
              </w:rPr>
            </w:pPr>
            <w:r>
              <w:rPr>
                <w:rFonts w:hint="eastAsia" w:ascii="方正楷体_GB2312" w:hAnsi="方正楷体_GB2312" w:eastAsia="方正楷体_GB2312" w:cs="方正楷体_GB2312"/>
                <w:b/>
                <w:i w:val="0"/>
                <w:snapToGrid w:val="0"/>
                <w:color w:val="FFFFFF"/>
                <w:spacing w:val="-5"/>
                <w:kern w:val="0"/>
                <w:sz w:val="28"/>
                <w:szCs w:val="28"/>
                <w:lang w:val="en-US" w:eastAsia="zh-CN" w:bidi="ar-SA"/>
              </w:rPr>
              <w:t>17:00-17:10</w:t>
            </w:r>
          </w:p>
        </w:tc>
        <w:tc>
          <w:tcPr>
            <w:tcW w:w="5234" w:type="dxa"/>
            <w:tcBorders>
              <w:top w:val="single" w:color="C8D5EF" w:themeColor="accent1" w:themeTint="4C" w:sz="6" w:space="0"/>
              <w:left w:val="single" w:color="4874CB" w:themeColor="accent1" w:sz="6" w:space="0"/>
              <w:bottom w:val="single" w:color="C8D5EF" w:themeColor="accent1" w:themeTint="4C" w:sz="6" w:space="0"/>
              <w:right w:val="nil"/>
            </w:tcBorders>
            <w:shd w:val="clear" w:color="auto" w:fill="EDF1F9" w:themeFill="accent1" w:themeFillTint="19"/>
            <w:vAlign w:val="center"/>
          </w:tcPr>
          <w:p w14:paraId="5AD53A9E">
            <w:pPr>
              <w:pStyle w:val="3"/>
              <w:keepNext w:val="0"/>
              <w:keepLines w:val="0"/>
              <w:widowControl/>
              <w:suppressLineNumbers w:val="0"/>
              <w:ind w:left="0" w:leftChars="0" w:right="0" w:rightChars="0"/>
              <w:jc w:val="center"/>
              <w:rPr>
                <w:rFonts w:hint="eastAsia" w:ascii="方正楷体_GB2312" w:hAnsi="方正楷体_GB2312" w:eastAsia="方正楷体_GB2312" w:cs="方正楷体_GB2312"/>
                <w:b w:val="0"/>
                <w:i w:val="0"/>
                <w:snapToGrid w:val="0"/>
                <w:color w:val="000000"/>
                <w:spacing w:val="-5"/>
                <w:kern w:val="0"/>
                <w:sz w:val="28"/>
                <w:szCs w:val="28"/>
                <w:lang w:val="en-US" w:eastAsia="zh-CN" w:bidi="ar-SA"/>
              </w:rPr>
            </w:pPr>
            <w:r>
              <w:rPr>
                <w:rFonts w:hint="eastAsia" w:ascii="方正楷体_GB2312" w:hAnsi="方正楷体_GB2312" w:eastAsia="方正楷体_GB2312" w:cs="方正楷体_GB2312"/>
                <w:b w:val="0"/>
                <w:i w:val="0"/>
                <w:snapToGrid w:val="0"/>
                <w:color w:val="000000"/>
                <w:spacing w:val="-5"/>
                <w:kern w:val="0"/>
                <w:sz w:val="28"/>
                <w:szCs w:val="28"/>
                <w:lang w:val="en-US" w:eastAsia="zh-CN" w:bidi="ar-SA"/>
              </w:rPr>
              <w:t>分数统计</w:t>
            </w:r>
          </w:p>
        </w:tc>
      </w:tr>
      <w:tr w14:paraId="1A878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8" w:type="dxa"/>
            <w:tcBorders>
              <w:top w:val="single" w:color="E9E9E9" w:themeColor="background1" w:themeShade="EA" w:sz="6" w:space="0"/>
              <w:left w:val="single" w:color="4874CB" w:themeColor="accent1" w:sz="6" w:space="0"/>
              <w:bottom w:val="single" w:color="4874CB" w:themeColor="accent1" w:sz="6" w:space="0"/>
              <w:right w:val="single" w:color="4874CB" w:themeColor="accent1" w:sz="6" w:space="0"/>
            </w:tcBorders>
            <w:shd w:val="clear" w:color="auto" w:fill="4874CB" w:themeFill="accent1"/>
            <w:vAlign w:val="center"/>
          </w:tcPr>
          <w:p w14:paraId="1F571048">
            <w:pPr>
              <w:pStyle w:val="3"/>
              <w:keepNext w:val="0"/>
              <w:keepLines w:val="0"/>
              <w:widowControl/>
              <w:suppressLineNumbers w:val="0"/>
              <w:ind w:left="0" w:leftChars="0" w:right="0" w:rightChars="0"/>
              <w:jc w:val="center"/>
              <w:rPr>
                <w:rFonts w:hint="default" w:ascii="方正楷体_GB2312" w:hAnsi="方正楷体_GB2312" w:eastAsia="方正楷体_GB2312" w:cs="方正楷体_GB2312"/>
                <w:b/>
                <w:i w:val="0"/>
                <w:snapToGrid w:val="0"/>
                <w:color w:val="FFFFFF"/>
                <w:spacing w:val="-5"/>
                <w:kern w:val="0"/>
                <w:sz w:val="28"/>
                <w:szCs w:val="28"/>
                <w:lang w:val="en-US" w:eastAsia="zh-CN" w:bidi="ar-SA"/>
              </w:rPr>
            </w:pPr>
            <w:r>
              <w:rPr>
                <w:rFonts w:hint="eastAsia" w:ascii="方正楷体_GB2312" w:hAnsi="方正楷体_GB2312" w:eastAsia="方正楷体_GB2312" w:cs="方正楷体_GB2312"/>
                <w:b/>
                <w:i w:val="0"/>
                <w:snapToGrid w:val="0"/>
                <w:color w:val="FFFFFF"/>
                <w:spacing w:val="-5"/>
                <w:kern w:val="0"/>
                <w:sz w:val="28"/>
                <w:szCs w:val="28"/>
                <w:lang w:val="en-US" w:eastAsia="zh-CN" w:bidi="ar-SA"/>
              </w:rPr>
              <w:t>17:10-17:30</w:t>
            </w:r>
          </w:p>
        </w:tc>
        <w:tc>
          <w:tcPr>
            <w:tcW w:w="5234" w:type="dxa"/>
            <w:tcBorders>
              <w:top w:val="single" w:color="C8D5EF" w:themeColor="accent1" w:themeTint="4C" w:sz="6" w:space="0"/>
              <w:left w:val="single" w:color="4874CB" w:themeColor="accent1" w:sz="6" w:space="0"/>
              <w:bottom w:val="single" w:color="4874CB" w:themeColor="accent1" w:sz="6" w:space="0"/>
              <w:right w:val="nil"/>
            </w:tcBorders>
            <w:shd w:val="clear" w:color="auto" w:fill="FFFFFF"/>
            <w:vAlign w:val="center"/>
          </w:tcPr>
          <w:p w14:paraId="5DCFA557">
            <w:pPr>
              <w:pStyle w:val="3"/>
              <w:keepNext w:val="0"/>
              <w:keepLines w:val="0"/>
              <w:widowControl/>
              <w:suppressLineNumbers w:val="0"/>
              <w:ind w:left="0" w:leftChars="0" w:right="0" w:rightChars="0"/>
              <w:jc w:val="center"/>
              <w:rPr>
                <w:rFonts w:hint="eastAsia" w:ascii="方正楷体_GB2312" w:hAnsi="方正楷体_GB2312" w:eastAsia="方正楷体_GB2312" w:cs="方正楷体_GB2312"/>
                <w:b w:val="0"/>
                <w:i w:val="0"/>
                <w:snapToGrid w:val="0"/>
                <w:color w:val="000000"/>
                <w:spacing w:val="-5"/>
                <w:kern w:val="0"/>
                <w:sz w:val="28"/>
                <w:szCs w:val="28"/>
                <w:lang w:val="en-US" w:eastAsia="zh-CN" w:bidi="ar-SA"/>
              </w:rPr>
            </w:pPr>
            <w:r>
              <w:rPr>
                <w:rFonts w:hint="eastAsia" w:ascii="方正楷体_GB2312" w:hAnsi="方正楷体_GB2312" w:eastAsia="方正楷体_GB2312" w:cs="方正楷体_GB2312"/>
                <w:b w:val="0"/>
                <w:i w:val="0"/>
                <w:snapToGrid w:val="0"/>
                <w:color w:val="000000"/>
                <w:spacing w:val="-5"/>
                <w:kern w:val="0"/>
                <w:sz w:val="28"/>
                <w:szCs w:val="28"/>
                <w:lang w:val="en-US" w:eastAsia="zh-CN" w:bidi="ar-SA"/>
              </w:rPr>
              <w:t>宣布竞赛结果及颁奖</w:t>
            </w:r>
          </w:p>
        </w:tc>
      </w:tr>
    </w:tbl>
    <w:p w14:paraId="22430060">
      <w:pPr>
        <w:numPr>
          <w:ilvl w:val="0"/>
          <w:numId w:val="0"/>
        </w:numPr>
        <w:spacing w:before="160" w:line="221" w:lineRule="auto"/>
        <w:outlineLvl w:val="0"/>
        <w:rPr>
          <w:rFonts w:hint="eastAsia" w:ascii="方正楷体_GB2312" w:hAnsi="方正楷体_GB2312" w:eastAsia="方正楷体_GB2312" w:cs="方正楷体_GB2312"/>
          <w:b/>
          <w:bCs/>
          <w:spacing w:val="-8"/>
          <w:sz w:val="28"/>
          <w:szCs w:val="28"/>
          <w:lang w:val="en-US" w:eastAsia="zh-CN"/>
        </w:rPr>
      </w:pPr>
    </w:p>
    <w:p w14:paraId="2D2498B4">
      <w:pPr>
        <w:numPr>
          <w:ilvl w:val="0"/>
          <w:numId w:val="0"/>
        </w:numPr>
        <w:spacing w:before="172" w:line="323" w:lineRule="auto"/>
        <w:ind w:right="4" w:rightChars="0"/>
        <w:jc w:val="both"/>
        <w:rPr>
          <w:rFonts w:hint="eastAsia" w:ascii="华文中宋" w:hAnsi="华文中宋" w:eastAsia="华文中宋" w:cs="华文中宋"/>
          <w:b/>
          <w:bCs/>
          <w:snapToGrid w:val="0"/>
          <w:color w:val="000000"/>
          <w:spacing w:val="-5"/>
          <w:kern w:val="0"/>
          <w:sz w:val="32"/>
          <w:szCs w:val="32"/>
          <w:lang w:val="en-US" w:eastAsia="zh-CN" w:bidi="ar-SA"/>
        </w:rPr>
      </w:pPr>
      <w:r>
        <w:rPr>
          <w:rFonts w:hint="eastAsia" w:ascii="华文中宋" w:hAnsi="华文中宋" w:eastAsia="华文中宋" w:cs="华文中宋"/>
          <w:b/>
          <w:bCs/>
          <w:snapToGrid w:val="0"/>
          <w:color w:val="000000"/>
          <w:spacing w:val="-5"/>
          <w:kern w:val="0"/>
          <w:sz w:val="32"/>
          <w:szCs w:val="32"/>
          <w:lang w:val="en-US" w:eastAsia="zh-CN" w:bidi="ar-SA"/>
        </w:rPr>
        <w:t>六、附则</w:t>
      </w:r>
    </w:p>
    <w:p w14:paraId="603328CA">
      <w:pPr>
        <w:spacing w:before="172" w:line="323" w:lineRule="auto"/>
        <w:ind w:right="4" w:firstLine="620" w:firstLineChars="200"/>
        <w:jc w:val="both"/>
        <w:rPr>
          <w:rFonts w:hint="eastAsia" w:ascii="华文中宋" w:hAnsi="华文中宋" w:eastAsia="华文中宋" w:cs="华文中宋"/>
          <w:spacing w:val="-5"/>
          <w:sz w:val="32"/>
          <w:szCs w:val="32"/>
          <w:lang w:val="en-US" w:eastAsia="zh-CN"/>
        </w:rPr>
      </w:pPr>
      <w:r>
        <w:rPr>
          <w:rFonts w:hint="eastAsia" w:ascii="方正楷体_GB2312" w:hAnsi="方正楷体_GB2312" w:eastAsia="方正楷体_GB2312" w:cs="方正楷体_GB2312"/>
          <w:spacing w:val="-5"/>
          <w:sz w:val="32"/>
          <w:szCs w:val="32"/>
          <w:lang w:val="en-US" w:eastAsia="zh-CN"/>
        </w:rPr>
        <w:t>若大赛后续更新方案与本方案内容存在差异，以最新版本为准。本大赛方案的最终解释权归耳鼻咽喉科住培医师临床技能竞赛暨带教师资授课竞赛组织委员会所有。</w:t>
      </w:r>
    </w:p>
    <w:sectPr>
      <w:pgSz w:w="11906" w:h="16838"/>
      <w:pgMar w:top="1440" w:right="1080" w:bottom="1440" w:left="108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embedRegular r:id="rId1" w:fontKey="{DE05AD59-1D7F-4F62-9EDB-D96574386FB7}"/>
  </w:font>
  <w:font w:name="方正楷体_GB2312">
    <w:panose1 w:val="02000000000000000000"/>
    <w:charset w:val="86"/>
    <w:family w:val="auto"/>
    <w:pitch w:val="default"/>
    <w:sig w:usb0="A00002BF" w:usb1="184F6CFA" w:usb2="00000012" w:usb3="00000000" w:csb0="00040001" w:csb1="00000000"/>
    <w:embedRegular r:id="rId2" w:fontKey="{05255265-EA4C-4398-8965-0316D953177A}"/>
  </w:font>
  <w:font w:name="WPSEMBED1">
    <w:panose1 w:val="02000000000000000000"/>
    <w:charset w:val="86"/>
    <w:family w:val="auto"/>
    <w:pitch w:val="default"/>
    <w:sig w:usb0="A00002BF" w:usb1="184F6CFA" w:usb2="00000012"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KSOF7FC4CF2A">
    <w:panose1 w:val="020B0604020202020204"/>
    <w:charset w:val="00"/>
    <w:family w:val="auto"/>
    <w:pitch w:val="default"/>
    <w:sig w:usb0="00000001"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NiY2E0ZjhmYWU3ZjMzYzg1MzIxMzU5NmQzNDYzYWQifQ=="/>
  </w:docVars>
  <w:rsids>
    <w:rsidRoot w:val="68526B13"/>
    <w:rsid w:val="01E925F2"/>
    <w:rsid w:val="06671589"/>
    <w:rsid w:val="08C71AF5"/>
    <w:rsid w:val="0C012733"/>
    <w:rsid w:val="0DCC7B66"/>
    <w:rsid w:val="0ED974DB"/>
    <w:rsid w:val="0F9A5D44"/>
    <w:rsid w:val="11A53032"/>
    <w:rsid w:val="120D63D6"/>
    <w:rsid w:val="17E466EF"/>
    <w:rsid w:val="188A36AA"/>
    <w:rsid w:val="18BE3BB2"/>
    <w:rsid w:val="24087534"/>
    <w:rsid w:val="2BB70874"/>
    <w:rsid w:val="2E14398E"/>
    <w:rsid w:val="35FE5964"/>
    <w:rsid w:val="3F2E222D"/>
    <w:rsid w:val="41025E85"/>
    <w:rsid w:val="469A3487"/>
    <w:rsid w:val="49666AA2"/>
    <w:rsid w:val="49FE2F06"/>
    <w:rsid w:val="4AEB2504"/>
    <w:rsid w:val="4D023B34"/>
    <w:rsid w:val="4E5E123E"/>
    <w:rsid w:val="4FBC5E5D"/>
    <w:rsid w:val="566C4B8C"/>
    <w:rsid w:val="56751B69"/>
    <w:rsid w:val="56C715AA"/>
    <w:rsid w:val="589A2E73"/>
    <w:rsid w:val="589A7812"/>
    <w:rsid w:val="5A8A765A"/>
    <w:rsid w:val="5AF11E3D"/>
    <w:rsid w:val="625E3163"/>
    <w:rsid w:val="65200BA4"/>
    <w:rsid w:val="67AC2BC3"/>
    <w:rsid w:val="68526B13"/>
    <w:rsid w:val="6A687B43"/>
    <w:rsid w:val="6AB53B3C"/>
    <w:rsid w:val="74963763"/>
    <w:rsid w:val="79403C01"/>
    <w:rsid w:val="7C2B7C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76"/>
      <w:szCs w:val="76"/>
      <w:lang w:val="en-US" w:eastAsia="en-US" w:bidi="ar-SA"/>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1929</Words>
  <Characters>2187</Characters>
  <Lines>0</Lines>
  <Paragraphs>0</Paragraphs>
  <TotalTime>8</TotalTime>
  <ScaleCrop>false</ScaleCrop>
  <LinksUpToDate>false</LinksUpToDate>
  <CharactersWithSpaces>2187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2024-10-09T04:55:00Z</dcterms:created>
  <dc:creator>NCc</dc:creator>
  <cp:lastModifiedBy>NCc</cp:lastModifiedBy>
  <dcterms:modified xsi:type="dcterms:W3CDTF">2026-06-15T11:11:31Z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7F74356844AD4C578327AAB7A2FA31E6_13</vt:lpwstr>
  </property>
  <property fmtid="{D5CDD505-2E9C-101B-9397-08002B2CF9AE}" pid="4" name="KSOTemplateDocerSaveRecord">
    <vt:lpwstr>eyJoZGlkIjoiYTNiY2E0ZjhmYWU3ZjMzYzg1MzIxMzU5NmQzNDYzYWQiLCJ1c2VySWQiOiIzMTQwMTcxNjAifQ==</vt:lpwstr>
  </property>
</Properties>
</file>