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after="40" w:line="360" w:lineRule="auto"/>
        <w:ind w:right="-57"/>
        <w:rPr>
          <w:szCs w:val="20"/>
        </w:rPr>
      </w:pPr>
      <w:bookmarkStart w:id="0" w:name="_GoBack"/>
      <w:bookmarkEnd w:id="0"/>
      <w:r>
        <w:rPr>
          <w:b/>
          <w:bCs/>
          <w:sz w:val="28"/>
          <w:szCs w:val="24"/>
        </w:rPr>
        <w:t>附件：</w:t>
      </w:r>
    </w:p>
    <w:p>
      <w:pPr>
        <w:jc w:val="right"/>
        <w:rPr>
          <w:i/>
          <w:iCs/>
          <w:sz w:val="30"/>
        </w:rPr>
      </w:pPr>
      <w:r>
        <w:rPr>
          <w:i/>
          <w:iCs/>
          <w:sz w:val="30"/>
        </w:rPr>
        <w:t>（空一行）</w:t>
      </w:r>
    </w:p>
    <w:p>
      <w:pPr>
        <w:jc w:val="right"/>
        <w:rPr>
          <w:b/>
          <w:bCs/>
          <w:sz w:val="30"/>
        </w:rPr>
      </w:pPr>
      <w:r>
        <w:rPr>
          <w:i/>
          <w:iCs/>
          <w:sz w:val="30"/>
        </w:rPr>
        <w:t>（空一行）</w:t>
      </w:r>
    </w:p>
    <w:p>
      <w:pPr>
        <w:jc w:val="center"/>
        <w:rPr>
          <w:b/>
          <w:bCs/>
          <w:sz w:val="30"/>
        </w:rPr>
      </w:pPr>
      <w:r>
        <w:rPr>
          <w:b/>
          <w:bCs/>
          <w:sz w:val="30"/>
        </w:rPr>
        <w:t>第十</w:t>
      </w:r>
      <w:r>
        <w:rPr>
          <w:rFonts w:hint="eastAsia"/>
          <w:b/>
          <w:bCs/>
          <w:sz w:val="30"/>
        </w:rPr>
        <w:t>一</w:t>
      </w:r>
      <w:r>
        <w:rPr>
          <w:b/>
          <w:bCs/>
          <w:sz w:val="30"/>
        </w:rPr>
        <w:t>届水力学与水利信息学大会论文格式</w:t>
      </w:r>
      <w:r>
        <w:rPr>
          <w:rStyle w:val="14"/>
          <w:b/>
        </w:rPr>
        <w:footnoteReference w:id="0" w:customMarkFollows="1"/>
        <w:sym w:font="Symbol" w:char="F020"/>
      </w:r>
    </w:p>
    <w:p>
      <w:pPr>
        <w:jc w:val="right"/>
        <w:rPr>
          <w:i/>
          <w:iCs/>
        </w:rPr>
      </w:pPr>
      <w:r>
        <w:rPr>
          <w:i/>
          <w:iCs/>
        </w:rPr>
        <w:t>（空一行）</w:t>
      </w:r>
    </w:p>
    <w:p>
      <w:pPr>
        <w:jc w:val="center"/>
        <w:rPr>
          <w:sz w:val="24"/>
          <w:szCs w:val="24"/>
        </w:rPr>
      </w:pPr>
      <w:r>
        <w:rPr>
          <w:sz w:val="24"/>
          <w:szCs w:val="24"/>
        </w:rPr>
        <w:t>杨帆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 吴海林</w:t>
      </w:r>
      <w:r>
        <w:rPr>
          <w:sz w:val="24"/>
          <w:szCs w:val="24"/>
          <w:vertAlign w:val="superscript"/>
        </w:rPr>
        <w:t>2</w:t>
      </w:r>
    </w:p>
    <w:p>
      <w:pPr>
        <w:jc w:val="right"/>
      </w:pPr>
      <w:r>
        <w:rPr>
          <w:i/>
          <w:iCs/>
        </w:rPr>
        <w:t>（空一行）</w:t>
      </w:r>
    </w:p>
    <w:p>
      <w:pPr>
        <w:numPr>
          <w:ilvl w:val="0"/>
          <w:numId w:val="1"/>
        </w:numPr>
        <w:jc w:val="center"/>
        <w:rPr>
          <w:sz w:val="18"/>
          <w:szCs w:val="18"/>
        </w:rPr>
      </w:pPr>
      <w:r>
        <w:rPr>
          <w:sz w:val="18"/>
          <w:szCs w:val="18"/>
        </w:rPr>
        <w:t>中国水利水电科学研究院，北京复兴路甲1号，100038，</w:t>
      </w:r>
      <w:r>
        <w:rPr>
          <w:sz w:val="18"/>
          <w:szCs w:val="18"/>
        </w:rPr>
        <w:fldChar w:fldCharType="begin"/>
      </w:r>
      <w:r>
        <w:rPr>
          <w:sz w:val="18"/>
          <w:szCs w:val="18"/>
        </w:rPr>
        <w:instrText xml:space="preserve"> HYPERLINK "mailto:yangfaniwhr@126.com" </w:instrText>
      </w:r>
      <w:r>
        <w:rPr>
          <w:sz w:val="18"/>
          <w:szCs w:val="18"/>
        </w:rPr>
        <w:fldChar w:fldCharType="separate"/>
      </w:r>
      <w:r>
        <w:rPr>
          <w:rStyle w:val="12"/>
          <w:color w:val="auto"/>
          <w:sz w:val="18"/>
          <w:szCs w:val="18"/>
        </w:rPr>
        <w:t>yangfaniwhr@126.com</w:t>
      </w:r>
      <w:r>
        <w:rPr>
          <w:sz w:val="18"/>
          <w:szCs w:val="18"/>
        </w:rPr>
        <w:fldChar w:fldCharType="end"/>
      </w:r>
    </w:p>
    <w:p>
      <w:pPr>
        <w:numPr>
          <w:ilvl w:val="0"/>
          <w:numId w:val="1"/>
        </w:numPr>
        <w:jc w:val="center"/>
        <w:rPr>
          <w:sz w:val="18"/>
          <w:szCs w:val="18"/>
        </w:rPr>
      </w:pPr>
      <w:r>
        <w:rPr>
          <w:sz w:val="18"/>
          <w:szCs w:val="18"/>
        </w:rPr>
        <w:t>三峡大学水利与环境学院，湖北省宜昌市西陵区大学路8号，</w:t>
      </w:r>
      <w:r>
        <w:rPr>
          <w:rStyle w:val="12"/>
          <w:color w:val="auto"/>
          <w:sz w:val="18"/>
          <w:szCs w:val="18"/>
        </w:rPr>
        <w:t>wuhailinwhl@163.com</w:t>
      </w:r>
      <w:r>
        <w:rPr>
          <w:sz w:val="18"/>
          <w:szCs w:val="18"/>
        </w:rPr>
        <w:t xml:space="preserve"> </w:t>
      </w:r>
    </w:p>
    <w:p>
      <w:pPr>
        <w:jc w:val="right"/>
      </w:pPr>
      <w:r>
        <w:rPr>
          <w:i/>
          <w:iCs/>
        </w:rPr>
        <w:t>（空一行）</w:t>
      </w:r>
    </w:p>
    <w:p>
      <w:pPr>
        <w:rPr>
          <w:sz w:val="18"/>
          <w:szCs w:val="18"/>
        </w:rPr>
      </w:pPr>
      <w:r>
        <w:rPr>
          <w:b/>
          <w:sz w:val="18"/>
          <w:szCs w:val="18"/>
        </w:rPr>
        <w:t>摘要：</w:t>
      </w:r>
      <w:r>
        <w:rPr>
          <w:sz w:val="18"/>
          <w:szCs w:val="18"/>
        </w:rPr>
        <w:t>本文</w:t>
      </w:r>
      <w:r>
        <w:rPr>
          <w:rFonts w:ascii="宋体" w:hAnsi="宋体"/>
          <w:sz w:val="18"/>
          <w:szCs w:val="18"/>
        </w:rPr>
        <w:t>为“第十</w:t>
      </w:r>
      <w:r>
        <w:rPr>
          <w:rFonts w:hint="eastAsia" w:ascii="宋体" w:hAnsi="宋体"/>
          <w:sz w:val="18"/>
          <w:szCs w:val="18"/>
        </w:rPr>
        <w:t>一</w:t>
      </w:r>
      <w:r>
        <w:rPr>
          <w:rFonts w:ascii="宋体" w:hAnsi="宋体"/>
          <w:sz w:val="18"/>
          <w:szCs w:val="18"/>
        </w:rPr>
        <w:t>届水力学与水利信息学大会”中</w:t>
      </w:r>
      <w:r>
        <w:rPr>
          <w:sz w:val="18"/>
          <w:szCs w:val="18"/>
        </w:rPr>
        <w:t>文论文格式，投稿作者须按此格式撰写和提交论文。本次会议只接受电子稿，不接受纸质稿件。论文长度以A4纸10页为限，包括图表在内。论文题目一般不超过24个字。每篇论文必须有摘要5～10行，摘要包括研究目的、主要方法、研究结果等，是一篇完整的短文，具有独立性和自含性，一般不分段，不用图表、化学结构式和非公知公认的符号和术语。关键词3～6个，应尽量从《汉语主题词表》词表中选用规范词。这篇论文格式可作为投稿论文的版式范本。</w:t>
      </w:r>
    </w:p>
    <w:p>
      <w:pPr>
        <w:rPr>
          <w:sz w:val="18"/>
          <w:szCs w:val="18"/>
        </w:rPr>
      </w:pPr>
      <w:r>
        <w:rPr>
          <w:b/>
          <w:sz w:val="18"/>
          <w:szCs w:val="18"/>
        </w:rPr>
        <w:t>关键词</w:t>
      </w:r>
      <w:r>
        <w:rPr>
          <w:sz w:val="18"/>
          <w:szCs w:val="18"/>
        </w:rPr>
        <w:t>：水力学；水利信息学；学术大会；论文格式</w:t>
      </w:r>
    </w:p>
    <w:p>
      <w:pPr>
        <w:jc w:val="right"/>
      </w:pPr>
      <w:r>
        <w:rPr>
          <w:i/>
          <w:iCs/>
        </w:rPr>
        <w:t>（空一行）</w:t>
      </w:r>
    </w:p>
    <w:p>
      <w:pPr>
        <w:numPr>
          <w:ilvl w:val="0"/>
          <w:numId w:val="2"/>
        </w:numPr>
        <w:rPr>
          <w:b/>
          <w:bCs/>
          <w:sz w:val="24"/>
        </w:rPr>
      </w:pPr>
      <w:r>
        <w:rPr>
          <w:b/>
          <w:bCs/>
          <w:sz w:val="24"/>
        </w:rPr>
        <w:t>前言</w:t>
      </w:r>
    </w:p>
    <w:p>
      <w:pPr>
        <w:jc w:val="right"/>
      </w:pPr>
      <w:r>
        <w:rPr>
          <w:i/>
          <w:iCs/>
        </w:rPr>
        <w:t>（空一行）</w:t>
      </w:r>
    </w:p>
    <w:p>
      <w:pPr>
        <w:ind w:firstLine="425"/>
        <w:rPr>
          <w:szCs w:val="21"/>
        </w:rPr>
      </w:pPr>
      <w:r>
        <w:rPr>
          <w:szCs w:val="21"/>
        </w:rPr>
        <w:t>文稿要求主题明确、结构严谨、数据可靠、文字准确简练。</w:t>
      </w:r>
      <w:r>
        <w:rPr>
          <w:rFonts w:hint="eastAsia"/>
          <w:szCs w:val="21"/>
        </w:rPr>
        <w:t>全文</w:t>
      </w:r>
      <w:r>
        <w:rPr>
          <w:szCs w:val="21"/>
        </w:rPr>
        <w:t>论文须为首次发表文稿，文责自负。署名作者一般不超过5人。作者署名包括单位、地址、邮编、电子信箱，排列见本文样式。不需作者简介。中文论文不要求英文摘要。如论文研究成果为基金项目或其他资助项目，在首页的页下注</w:t>
      </w:r>
      <w:r>
        <w:rPr>
          <w:rFonts w:hint="eastAsia"/>
          <w:szCs w:val="21"/>
        </w:rPr>
        <w:t>表</w:t>
      </w:r>
      <w:r>
        <w:rPr>
          <w:szCs w:val="21"/>
        </w:rPr>
        <w:t>明。</w:t>
      </w:r>
    </w:p>
    <w:p>
      <w:pPr>
        <w:jc w:val="right"/>
      </w:pPr>
      <w:r>
        <w:rPr>
          <w:i/>
          <w:iCs/>
        </w:rPr>
        <w:t>（空一行）</w:t>
      </w:r>
    </w:p>
    <w:p>
      <w:pPr>
        <w:numPr>
          <w:ilvl w:val="0"/>
          <w:numId w:val="2"/>
        </w:numPr>
        <w:rPr>
          <w:b/>
          <w:bCs/>
          <w:sz w:val="24"/>
        </w:rPr>
      </w:pPr>
      <w:r>
        <w:rPr>
          <w:b/>
          <w:bCs/>
          <w:sz w:val="24"/>
        </w:rPr>
        <w:t>正文</w:t>
      </w:r>
    </w:p>
    <w:p>
      <w:pPr>
        <w:jc w:val="right"/>
      </w:pPr>
      <w:r>
        <w:rPr>
          <w:i/>
          <w:iCs/>
        </w:rPr>
        <w:t>（空一行）</w:t>
      </w:r>
    </w:p>
    <w:p>
      <w:r>
        <w:rPr>
          <w:b/>
          <w:bCs/>
        </w:rPr>
        <w:t xml:space="preserve">2.1 </w:t>
      </w:r>
      <w:r>
        <w:t xml:space="preserve"> </w:t>
      </w:r>
      <w:r>
        <w:rPr>
          <w:b/>
          <w:bCs/>
        </w:rPr>
        <w:t>正文与图表</w:t>
      </w:r>
    </w:p>
    <w:p>
      <w:pPr>
        <w:ind w:firstLine="435"/>
      </w:pPr>
      <w:r>
        <w:t>论文用WORD2003以上版本排版，宋体，</w:t>
      </w:r>
      <w:r>
        <w:rPr>
          <w:szCs w:val="21"/>
        </w:rPr>
        <w:t>图文混排。</w:t>
      </w:r>
      <w:r>
        <w:t>全文分段要恰当合理，层次分明，层次不超过</w:t>
      </w:r>
      <w:r>
        <w:rPr>
          <w:b/>
          <w:bCs/>
        </w:rPr>
        <w:t>3</w:t>
      </w:r>
      <w:r>
        <w:t>级，一级子标题如</w:t>
      </w:r>
      <w:r>
        <w:rPr>
          <w:rFonts w:ascii="宋体" w:hAnsi="宋体"/>
        </w:rPr>
        <w:t>“</w:t>
      </w:r>
      <w:r>
        <w:rPr>
          <w:b/>
          <w:bCs/>
        </w:rPr>
        <w:t>1 前言</w:t>
      </w:r>
      <w:r>
        <w:rPr>
          <w:rFonts w:ascii="宋体" w:hAnsi="宋体"/>
        </w:rPr>
        <w:t>”</w:t>
      </w:r>
      <w:r>
        <w:t>，加粗，上、下各空1行；二级子标题如</w:t>
      </w:r>
      <w:r>
        <w:rPr>
          <w:rFonts w:ascii="宋体" w:hAnsi="宋体"/>
        </w:rPr>
        <w:t>“</w:t>
      </w:r>
      <w:r>
        <w:rPr>
          <w:b/>
          <w:bCs/>
        </w:rPr>
        <w:t>2.2 正文与图表</w:t>
      </w:r>
      <w:r>
        <w:rPr>
          <w:rFonts w:ascii="宋体" w:hAnsi="宋体"/>
        </w:rPr>
        <w:t>”</w:t>
      </w:r>
      <w:r>
        <w:t>，加粗，上空1行，下不空；三级子标题如</w:t>
      </w:r>
      <w:r>
        <w:rPr>
          <w:rFonts w:ascii="宋体" w:hAnsi="宋体"/>
        </w:rPr>
        <w:t>“</w:t>
      </w:r>
      <w:r>
        <w:rPr>
          <w:b/>
          <w:bCs/>
        </w:rPr>
        <w:t>2.2.1  排版</w:t>
      </w:r>
      <w:r>
        <w:rPr>
          <w:rFonts w:ascii="宋体" w:hAnsi="宋体"/>
        </w:rPr>
        <w:t>”</w:t>
      </w:r>
      <w:r>
        <w:t>，加粗，接打文字。</w:t>
      </w:r>
    </w:p>
    <w:p>
      <w:pPr>
        <w:ind w:firstLine="435"/>
      </w:pPr>
      <w:r>
        <w:t>投稿论文不用pdf格式，以便编辑与修改，正式录用论文提交时同时用.doc文档和.pdf文档。</w:t>
      </w:r>
    </w:p>
    <w:p>
      <w:r>
        <w:rPr>
          <w:b/>
          <w:bCs/>
        </w:rPr>
        <w:t xml:space="preserve">2.1.1 排版 </w:t>
      </w:r>
      <w:r>
        <w:rPr>
          <w:bCs/>
        </w:rPr>
        <w:t xml:space="preserve"> 版面为A4大小，</w:t>
      </w:r>
      <w:r>
        <w:t>版芯尺寸为160mm</w:t>
      </w:r>
      <w:r>
        <w:rPr>
          <w:rFonts w:hint="eastAsia"/>
        </w:rPr>
        <w:t>×</w:t>
      </w:r>
      <w:r>
        <w:t>240mm（上、下各空2.8mm，左、右各空2.5mm）。首页论文标题上空2行，第2页起上无空行。</w:t>
      </w:r>
    </w:p>
    <w:p>
      <w:r>
        <w:rPr>
          <w:b/>
          <w:bCs/>
        </w:rPr>
        <w:t xml:space="preserve">2.1.2 字号与行距  </w:t>
      </w:r>
      <w:r>
        <w:t>论文标题字号为</w:t>
      </w:r>
      <w:r>
        <w:rPr>
          <w:rFonts w:ascii="宋体" w:hAnsi="宋体"/>
        </w:rPr>
        <w:t>“</w:t>
      </w:r>
      <w:r>
        <w:t>小三</w:t>
      </w:r>
      <w:r>
        <w:rPr>
          <w:rFonts w:ascii="宋体" w:hAnsi="宋体"/>
        </w:rPr>
        <w:t>”</w:t>
      </w:r>
      <w:r>
        <w:t>；作者姓名和一级子标题字号为</w:t>
      </w:r>
      <w:r>
        <w:rPr>
          <w:rFonts w:ascii="宋体" w:hAnsi="宋体"/>
        </w:rPr>
        <w:t>“</w:t>
      </w:r>
      <w:r>
        <w:t>小四</w:t>
      </w:r>
      <w:r>
        <w:rPr>
          <w:rFonts w:ascii="宋体" w:hAnsi="宋体"/>
        </w:rPr>
        <w:t>”</w:t>
      </w:r>
      <w:r>
        <w:t>；作者地址行、摘要、页下注、表格中文字和参考文献为</w:t>
      </w:r>
      <w:r>
        <w:rPr>
          <w:rFonts w:ascii="宋体" w:hAnsi="宋体"/>
        </w:rPr>
        <w:t>“</w:t>
      </w:r>
      <w:r>
        <w:t>小五</w:t>
      </w:r>
      <w:r>
        <w:rPr>
          <w:rFonts w:ascii="宋体" w:hAnsi="宋体"/>
        </w:rPr>
        <w:t>”</w:t>
      </w:r>
      <w:r>
        <w:t>；论文其余部分的字号均为</w:t>
      </w:r>
      <w:r>
        <w:rPr>
          <w:rFonts w:ascii="宋体" w:hAnsi="宋体"/>
        </w:rPr>
        <w:t>“</w:t>
      </w:r>
      <w:r>
        <w:t>五号</w:t>
      </w:r>
      <w:r>
        <w:rPr>
          <w:rFonts w:ascii="宋体" w:hAnsi="宋体"/>
        </w:rPr>
        <w:t>”</w:t>
      </w:r>
      <w:r>
        <w:t>。单倍行距，文档网格每行17.05磅，每页40行。每段首行空2格。</w:t>
      </w:r>
    </w:p>
    <w:p>
      <w:r>
        <w:rPr>
          <w:b/>
          <w:bCs/>
        </w:rPr>
        <w:t>2.1.3 附图</w:t>
      </w:r>
      <w:r>
        <w:t xml:space="preserve">  附图和照片尽量用Microsoft W</w:t>
      </w:r>
      <w:r>
        <w:rPr>
          <w:rFonts w:hint="eastAsia"/>
        </w:rPr>
        <w:t>ord</w:t>
      </w:r>
      <w:r>
        <w:t>处理，必须做成电子文本。一般插在正文文字叙述之后，也可附在文章末尾。编号为</w:t>
      </w:r>
      <w:r>
        <w:rPr>
          <w:rFonts w:ascii="宋体" w:hAnsi="宋体"/>
        </w:rPr>
        <w:t>“</w:t>
      </w:r>
      <w:r>
        <w:t>图1</w:t>
      </w:r>
      <w:r>
        <w:rPr>
          <w:rFonts w:ascii="宋体" w:hAnsi="宋体"/>
        </w:rPr>
        <w:t>”</w:t>
      </w:r>
      <w:r>
        <w:t>、</w:t>
      </w:r>
      <w:r>
        <w:rPr>
          <w:rFonts w:ascii="宋体" w:hAnsi="宋体"/>
        </w:rPr>
        <w:t>“</w:t>
      </w:r>
      <w:r>
        <w:t>照片1</w:t>
      </w:r>
      <w:r>
        <w:rPr>
          <w:rFonts w:ascii="宋体" w:hAnsi="宋体"/>
        </w:rPr>
        <w:t>”</w:t>
      </w:r>
      <w:r>
        <w:t>、</w:t>
      </w:r>
      <w:r>
        <w:rPr>
          <w:rFonts w:ascii="宋体" w:hAnsi="宋体"/>
        </w:rPr>
        <w:t>“</w:t>
      </w:r>
      <w:r>
        <w:t>表1</w:t>
      </w:r>
      <w:r>
        <w:rPr>
          <w:rFonts w:ascii="宋体" w:hAnsi="宋体"/>
        </w:rPr>
        <w:t>”</w:t>
      </w:r>
      <w:r>
        <w:t>等，按出现顺序全文统一编号。</w:t>
      </w:r>
    </w:p>
    <w:p/>
    <w:p>
      <w:pPr>
        <w:jc w:val="center"/>
        <w:rPr>
          <w:b/>
          <w:bCs/>
        </w:rPr>
      </w:pPr>
      <w:r>
        <w:drawing>
          <wp:inline distT="0" distB="0" distL="114300" distR="114300">
            <wp:extent cx="2117725" cy="1335405"/>
            <wp:effectExtent l="0" t="0" r="952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l="25014" t="15527" r="29161" b="32796"/>
                    <a:stretch>
                      <a:fillRect/>
                    </a:stretch>
                  </pic:blipFill>
                  <pic:spPr>
                    <a:xfrm>
                      <a:off x="0" y="0"/>
                      <a:ext cx="2117725" cy="1335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t>图1 重力引起的具有自由表面的平行直线流动</w:t>
      </w:r>
    </w:p>
    <w:p>
      <w:pPr>
        <w:jc w:val="center"/>
      </w:pPr>
    </w:p>
    <w:p>
      <w:pPr>
        <w:adjustRightInd w:val="0"/>
        <w:snapToGrid w:val="0"/>
        <w:ind w:firstLine="420" w:firstLineChars="200"/>
        <w:jc w:val="center"/>
      </w:pPr>
      <w:r>
        <w:t>表1 各方案冲坑最深点深度及距坝的距离统计</w:t>
      </w:r>
    </w:p>
    <w:tbl>
      <w:tblPr>
        <w:tblStyle w:val="9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093"/>
        <w:gridCol w:w="1111"/>
        <w:gridCol w:w="1134"/>
        <w:gridCol w:w="1228"/>
        <w:gridCol w:w="1120"/>
        <w:gridCol w:w="1050"/>
        <w:gridCol w:w="1134"/>
        <w:gridCol w:w="1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流量</w:t>
            </w:r>
          </w:p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(m</w:t>
            </w:r>
            <w:r>
              <w:rPr>
                <w:kern w:val="0"/>
                <w:sz w:val="18"/>
                <w:szCs w:val="18"/>
                <w:vertAlign w:val="superscript"/>
              </w:rPr>
              <w:t>3</w:t>
            </w:r>
            <w:r>
              <w:rPr>
                <w:kern w:val="0"/>
                <w:sz w:val="18"/>
                <w:szCs w:val="18"/>
              </w:rPr>
              <w:t>/s)</w:t>
            </w:r>
          </w:p>
        </w:tc>
        <w:tc>
          <w:tcPr>
            <w:tcW w:w="22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方案一冲坑最深点</w:t>
            </w:r>
          </w:p>
        </w:tc>
        <w:tc>
          <w:tcPr>
            <w:tcW w:w="236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方案一修改冲坑最深点</w:t>
            </w:r>
          </w:p>
        </w:tc>
        <w:tc>
          <w:tcPr>
            <w:tcW w:w="21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方案二冲坑最深点</w:t>
            </w:r>
          </w:p>
        </w:tc>
        <w:tc>
          <w:tcPr>
            <w:tcW w:w="218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方案三冲坑最深点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85" w:hRule="atLeast"/>
          <w:jc w:val="center"/>
        </w:trPr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深度（m）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距坝（m）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深度（m）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距坝（m）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深度（m）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距坝（m）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深度（m）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距坝（m）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3000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6.76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4.6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8000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19.42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9.52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5.56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8.7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300" w:hRule="atLeast"/>
          <w:jc w:val="center"/>
        </w:trPr>
        <w:tc>
          <w:tcPr>
            <w:tcW w:w="7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14940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22.52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14.41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2.1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16.9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</w:tr>
    </w:tbl>
    <w:p>
      <w:pPr>
        <w:jc w:val="center"/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2.2  公式</w:t>
      </w:r>
    </w:p>
    <w:p>
      <w:pPr>
        <w:ind w:firstLine="435"/>
      </w:pPr>
      <w:r>
        <w:t>文稿中的公式以线性化形式斜体书写，如，</w:t>
      </w:r>
    </w:p>
    <w:p>
      <w:pPr>
        <w:snapToGrid w:val="0"/>
        <w:jc w:val="right"/>
        <w:rPr>
          <w:bCs/>
          <w:szCs w:val="21"/>
        </w:rPr>
      </w:pPr>
      <w:r>
        <w:rPr>
          <w:bCs/>
          <w:position w:val="-24"/>
          <w:szCs w:val="21"/>
        </w:rPr>
        <w:object>
          <v:shape id="_x0000_i1026" o:spt="75" type="#_x0000_t75" style="height:30.75pt;width:75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3" ShapeID="_x0000_i1026" DrawAspect="Content" ObjectID="_1468075725" r:id="rId6">
            <o:LockedField>false</o:LockedField>
          </o:OLEObject>
        </w:object>
      </w:r>
      <w:r>
        <w:rPr>
          <w:bCs/>
          <w:szCs w:val="21"/>
        </w:rPr>
        <w:t xml:space="preserve">                                 (3)</w:t>
      </w:r>
    </w:p>
    <w:p>
      <w:pPr>
        <w:snapToGrid w:val="0"/>
        <w:ind w:firstLine="3675" w:firstLineChars="1750"/>
        <w:jc w:val="right"/>
        <w:outlineLvl w:val="0"/>
        <w:rPr>
          <w:bCs/>
          <w:szCs w:val="21"/>
        </w:rPr>
      </w:pPr>
    </w:p>
    <w:p>
      <w:pPr>
        <w:snapToGrid w:val="0"/>
        <w:rPr>
          <w:i/>
          <w:iCs/>
        </w:rPr>
      </w:pPr>
      <w:r>
        <w:rPr>
          <w:bCs/>
          <w:szCs w:val="21"/>
        </w:rPr>
        <w:t>式中：</w:t>
      </w:r>
      <w:r>
        <w:rPr>
          <w:bCs/>
          <w:position w:val="-6"/>
          <w:szCs w:val="21"/>
        </w:rPr>
        <w:object>
          <v:shape id="_x0000_i1027" o:spt="75" type="#_x0000_t75" style="height:11.25pt;width:9.75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3" ShapeID="_x0000_i1027" DrawAspect="Content" ObjectID="_1468075726" r:id="rId8">
            <o:LockedField>false</o:LockedField>
          </o:OLEObject>
        </w:object>
      </w:r>
      <w:r>
        <w:rPr>
          <w:bCs/>
          <w:szCs w:val="21"/>
        </w:rPr>
        <w:t>为明渠</w:t>
      </w:r>
      <w:r>
        <w:rPr>
          <w:szCs w:val="21"/>
        </w:rPr>
        <w:t>综合</w:t>
      </w:r>
      <w:r>
        <w:rPr>
          <w:bCs/>
          <w:szCs w:val="21"/>
        </w:rPr>
        <w:t>糙率；</w:t>
      </w:r>
      <w:r>
        <w:rPr>
          <w:bCs/>
          <w:position w:val="-4"/>
          <w:szCs w:val="21"/>
        </w:rPr>
        <w:object>
          <v:shape id="_x0000_i1028" o:spt="75" type="#_x0000_t75" style="height:12.75pt;width:12pt;" o:ole="t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none"/>
            <w10:anchorlock/>
          </v:shape>
          <o:OLEObject Type="Embed" ProgID="Equation.3" ShapeID="_x0000_i1028" DrawAspect="Content" ObjectID="_1468075727" r:id="rId10">
            <o:LockedField>false</o:LockedField>
          </o:OLEObject>
        </w:object>
      </w:r>
      <w:r>
        <w:rPr>
          <w:bCs/>
          <w:szCs w:val="21"/>
        </w:rPr>
        <w:t>为水力半径；</w:t>
      </w:r>
      <w:r>
        <w:rPr>
          <w:bCs/>
          <w:position w:val="-6"/>
          <w:szCs w:val="21"/>
        </w:rPr>
        <w:object>
          <v:shape id="_x0000_i1029" o:spt="75" type="#_x0000_t75" style="height:14.25pt;width:11.25pt;" o:ole="t" filled="f" o:preferrelative="t" stroked="f" coordsize="21600,21600">
            <v:path/>
            <v:fill on="f" focussize="0,0"/>
            <v:stroke on="f"/>
            <v:imagedata r:id="rId13" o:title=""/>
            <o:lock v:ext="edit" aspectratio="t"/>
            <w10:wrap type="none"/>
            <w10:anchorlock/>
          </v:shape>
          <o:OLEObject Type="Embed" ProgID="Equation.3" ShapeID="_x0000_i1029" DrawAspect="Content" ObjectID="_1468075728" r:id="rId12">
            <o:LockedField>false</o:LockedField>
          </o:OLEObject>
        </w:object>
      </w:r>
      <w:r>
        <w:rPr>
          <w:bCs/>
          <w:szCs w:val="21"/>
        </w:rPr>
        <w:t>为水力坡度。</w:t>
      </w:r>
      <w:r>
        <w:rPr>
          <w:i/>
          <w:iCs/>
        </w:rPr>
        <w:t xml:space="preserve">                                     </w:t>
      </w:r>
    </w:p>
    <w:p>
      <w:r>
        <w:t>公式以阿拉伯数字连续编号，如</w:t>
      </w:r>
      <w:r>
        <w:rPr>
          <w:rFonts w:ascii="宋体" w:hAnsi="宋体"/>
        </w:rPr>
        <w:t>“</w:t>
      </w:r>
      <w:r>
        <w:t>（1）</w:t>
      </w:r>
      <w:r>
        <w:rPr>
          <w:rFonts w:ascii="宋体" w:hAnsi="宋体"/>
        </w:rPr>
        <w:t>”</w:t>
      </w:r>
      <w:r>
        <w:t>、</w:t>
      </w:r>
      <w:r>
        <w:rPr>
          <w:rFonts w:ascii="宋体" w:hAnsi="宋体"/>
        </w:rPr>
        <w:t>“</w:t>
      </w:r>
      <w:r>
        <w:t>（2）</w:t>
      </w:r>
      <w:r>
        <w:rPr>
          <w:rFonts w:ascii="宋体" w:hAnsi="宋体"/>
        </w:rPr>
        <w:t>”</w:t>
      </w:r>
      <w:r>
        <w:t>、</w:t>
      </w:r>
      <w:r>
        <w:rPr>
          <w:rFonts w:ascii="宋体" w:hAnsi="宋体"/>
        </w:rPr>
        <w:t>“</w:t>
      </w:r>
      <w:r>
        <w:t>（3）</w:t>
      </w:r>
      <w:r>
        <w:rPr>
          <w:rFonts w:ascii="宋体" w:hAnsi="宋体"/>
        </w:rPr>
        <w:t>”</w:t>
      </w:r>
      <w:r>
        <w:t>。正文中引用公式序号时，用</w:t>
      </w:r>
      <w:r>
        <w:rPr>
          <w:rFonts w:ascii="宋体" w:hAnsi="宋体"/>
        </w:rPr>
        <w:t>“</w:t>
      </w:r>
      <w:r>
        <w:t>式（1）</w:t>
      </w:r>
      <w:r>
        <w:rPr>
          <w:rFonts w:ascii="宋体" w:hAnsi="宋体"/>
        </w:rPr>
        <w:t>”</w:t>
      </w:r>
      <w:r>
        <w:t>、</w:t>
      </w:r>
      <w:r>
        <w:rPr>
          <w:rFonts w:ascii="宋体" w:hAnsi="宋体"/>
        </w:rPr>
        <w:t>“</w:t>
      </w:r>
      <w:r>
        <w:t>式（2）</w:t>
      </w:r>
      <w:r>
        <w:rPr>
          <w:rFonts w:ascii="宋体" w:hAnsi="宋体"/>
        </w:rPr>
        <w:t>”</w:t>
      </w:r>
      <w:r>
        <w:t>的写法，不用其他写法。</w:t>
      </w:r>
    </w:p>
    <w:p/>
    <w:p>
      <w:pPr>
        <w:numPr>
          <w:ilvl w:val="0"/>
          <w:numId w:val="2"/>
        </w:numPr>
        <w:rPr>
          <w:b/>
          <w:bCs/>
          <w:sz w:val="24"/>
        </w:rPr>
      </w:pPr>
      <w:r>
        <w:rPr>
          <w:b/>
          <w:bCs/>
          <w:sz w:val="24"/>
        </w:rPr>
        <w:t>参考文献</w:t>
      </w:r>
    </w:p>
    <w:p>
      <w:pPr>
        <w:rPr>
          <w:b/>
          <w:bCs/>
          <w:sz w:val="24"/>
        </w:rPr>
      </w:pPr>
    </w:p>
    <w:p>
      <w:pPr>
        <w:ind w:firstLine="360"/>
      </w:pPr>
      <w:r>
        <w:t>参考文献必须是正式发表的文章（期刊、专著、文集等），按在文中出现的顺序编号。正文中引用时，用上角标方括号表出的文献号，如</w:t>
      </w:r>
      <w:r>
        <w:rPr>
          <w:rFonts w:ascii="宋体" w:hAnsi="宋体"/>
        </w:rPr>
        <w:t>“</w:t>
      </w:r>
      <w:r>
        <w:rPr>
          <w:szCs w:val="21"/>
        </w:rPr>
        <w:t>首次提出综合平衡法</w:t>
      </w:r>
      <w:r>
        <w:rPr>
          <w:vertAlign w:val="superscript"/>
        </w:rPr>
        <w:t>[11]</w:t>
      </w:r>
      <w:r>
        <w:rPr>
          <w:rFonts w:ascii="宋体" w:hAnsi="宋体"/>
        </w:rPr>
        <w:t>”</w:t>
      </w:r>
      <w:r>
        <w:t>，</w:t>
      </w:r>
      <w:r>
        <w:rPr>
          <w:szCs w:val="21"/>
        </w:rPr>
        <w:t>或作为语句的组成部分，如</w:t>
      </w:r>
      <w:r>
        <w:rPr>
          <w:rFonts w:ascii="宋体" w:hAnsi="宋体"/>
          <w:szCs w:val="21"/>
        </w:rPr>
        <w:t>“</w:t>
      </w:r>
      <w:r>
        <w:rPr>
          <w:szCs w:val="21"/>
        </w:rPr>
        <w:t>李××利用文献［8-10］，……</w:t>
      </w:r>
      <w:r>
        <w:rPr>
          <w:rFonts w:ascii="宋体" w:hAnsi="宋体"/>
          <w:szCs w:val="21"/>
        </w:rPr>
        <w:t>”</w:t>
      </w:r>
      <w:r>
        <w:rPr>
          <w:szCs w:val="21"/>
        </w:rPr>
        <w:t>。</w:t>
      </w:r>
      <w:r>
        <w:t>未发表的参考文献一般不列入，必要时用页下注的形式放在文中引用处的当页。各类参考文献书写的内容和格式如下。</w:t>
      </w:r>
    </w:p>
    <w:p>
      <w:pPr>
        <w:rPr>
          <w:rFonts w:ascii="宋体" w:hAnsi="宋体"/>
        </w:rPr>
      </w:pPr>
      <w:r>
        <w:rPr>
          <w:rFonts w:ascii="宋体" w:hAnsi="宋体"/>
        </w:rPr>
        <w:t>· 期刊：</w:t>
      </w:r>
    </w:p>
    <w:p>
      <w:r>
        <w:t>作者，文章题名，刊名，出版年份，卷号（期号），起止页码</w:t>
      </w:r>
    </w:p>
    <w:p>
      <w:pPr>
        <w:rPr>
          <w:rFonts w:ascii="宋体" w:hAnsi="宋体"/>
        </w:rPr>
      </w:pPr>
      <w:r>
        <w:rPr>
          <w:rFonts w:ascii="宋体" w:hAnsi="宋体"/>
        </w:rPr>
        <w:t>· 专著：</w:t>
      </w:r>
    </w:p>
    <w:p>
      <w:r>
        <w:t>作者，书名，版次，出版地：出版单位，出版年份，章节或起止页码</w:t>
      </w:r>
    </w:p>
    <w:p>
      <w:pPr>
        <w:rPr>
          <w:rFonts w:ascii="宋体" w:hAnsi="宋体"/>
        </w:rPr>
      </w:pPr>
      <w:r>
        <w:rPr>
          <w:rFonts w:ascii="宋体" w:hAnsi="宋体"/>
        </w:rPr>
        <w:t>· 专著或文集中的析出文献</w:t>
      </w:r>
    </w:p>
    <w:p>
      <w:r>
        <w:t>析出作者，析出题目，</w:t>
      </w:r>
      <w:r>
        <w:rPr>
          <w:rFonts w:ascii="宋体" w:hAnsi="宋体"/>
        </w:rPr>
        <w:t>“</w:t>
      </w:r>
      <w:r>
        <w:t>见：原书作者名（或论文集主编），原书书名（或论文集名）</w:t>
      </w:r>
      <w:r>
        <w:rPr>
          <w:rFonts w:ascii="宋体" w:hAnsi="宋体"/>
        </w:rPr>
        <w:t>”</w:t>
      </w:r>
      <w:r>
        <w:t>，出版地，出版单位，出版年份，起止页码</w:t>
      </w:r>
    </w:p>
    <w:p/>
    <w:p>
      <w:pPr>
        <w:numPr>
          <w:ilvl w:val="0"/>
          <w:numId w:val="2"/>
        </w:numPr>
        <w:rPr>
          <w:b/>
          <w:bCs/>
          <w:sz w:val="24"/>
        </w:rPr>
      </w:pPr>
      <w:r>
        <w:rPr>
          <w:b/>
          <w:bCs/>
          <w:sz w:val="24"/>
        </w:rPr>
        <w:t>论文提交</w:t>
      </w:r>
    </w:p>
    <w:p>
      <w:pPr>
        <w:rPr>
          <w:b/>
          <w:bCs/>
        </w:rPr>
      </w:pPr>
    </w:p>
    <w:p>
      <w:pPr>
        <w:snapToGrid w:val="0"/>
        <w:spacing w:line="320" w:lineRule="atLeast"/>
        <w:ind w:firstLine="482"/>
        <w:rPr>
          <w:szCs w:val="21"/>
        </w:rPr>
      </w:pPr>
      <w:r>
        <w:rPr>
          <w:szCs w:val="21"/>
        </w:rPr>
        <w:t>凡符合大会议题的文章都欢迎向会议投稿。</w:t>
      </w:r>
      <w:r>
        <w:rPr>
          <w:rFonts w:hint="eastAsia"/>
          <w:szCs w:val="21"/>
        </w:rPr>
        <w:t>请</w:t>
      </w:r>
      <w:r>
        <w:rPr>
          <w:szCs w:val="21"/>
        </w:rPr>
        <w:t>论文作者进入本届会议的论文投稿系统在线递交论文，截稿日期为</w:t>
      </w:r>
      <w:r>
        <w:rPr>
          <w:rFonts w:hint="eastAsia"/>
          <w:szCs w:val="21"/>
        </w:rPr>
        <w:t>202</w:t>
      </w:r>
      <w:r>
        <w:rPr>
          <w:szCs w:val="21"/>
        </w:rPr>
        <w:t>4</w:t>
      </w:r>
      <w:r>
        <w:rPr>
          <w:rFonts w:hint="eastAsia"/>
          <w:szCs w:val="21"/>
        </w:rPr>
        <w:t>年4月30日</w:t>
      </w:r>
      <w:r>
        <w:rPr>
          <w:szCs w:val="21"/>
        </w:rPr>
        <w:t>。</w:t>
      </w:r>
    </w:p>
    <w:p>
      <w:pPr>
        <w:snapToGrid w:val="0"/>
        <w:spacing w:line="320" w:lineRule="atLeast"/>
        <w:ind w:firstLine="482"/>
        <w:rPr>
          <w:szCs w:val="21"/>
        </w:rPr>
      </w:pPr>
      <w:r>
        <w:rPr>
          <w:szCs w:val="21"/>
        </w:rPr>
        <w:t>凡进入大会论文集的论文须为首次发表文稿，已投其他正式刊物的论文请勿再投本会。论文经过专家审稿后，于</w:t>
      </w:r>
      <w:r>
        <w:rPr>
          <w:rFonts w:hint="eastAsia"/>
          <w:szCs w:val="21"/>
        </w:rPr>
        <w:t>202</w:t>
      </w:r>
      <w:r>
        <w:rPr>
          <w:szCs w:val="21"/>
        </w:rPr>
        <w:t>4</w:t>
      </w:r>
      <w:r>
        <w:rPr>
          <w:rFonts w:hint="eastAsia"/>
          <w:szCs w:val="21"/>
        </w:rPr>
        <w:t>年6月下旬</w:t>
      </w:r>
      <w:r>
        <w:rPr>
          <w:szCs w:val="21"/>
        </w:rPr>
        <w:t>开始发出录</w:t>
      </w:r>
      <w:r>
        <w:rPr>
          <w:rFonts w:hint="eastAsia"/>
          <w:szCs w:val="21"/>
        </w:rPr>
        <w:t>用</w:t>
      </w:r>
      <w:r>
        <w:rPr>
          <w:szCs w:val="21"/>
        </w:rPr>
        <w:t>或修改的通知。论文作者也可以选择不进入大会论文集，仅进入摘要集并到会交流，不进入大会文集的论文无须是首次发表文稿。</w:t>
      </w:r>
    </w:p>
    <w:p>
      <w:pPr>
        <w:rPr>
          <w:szCs w:val="21"/>
        </w:rPr>
      </w:pPr>
    </w:p>
    <w:p/>
    <w:p>
      <w:pPr>
        <w:rPr>
          <w:b/>
          <w:bCs/>
          <w:sz w:val="24"/>
        </w:rPr>
      </w:pPr>
      <w:r>
        <w:rPr>
          <w:b/>
          <w:bCs/>
          <w:sz w:val="24"/>
        </w:rPr>
        <w:t>参考文献</w:t>
      </w:r>
      <w:r>
        <w:rPr>
          <w:bCs/>
          <w:sz w:val="18"/>
          <w:szCs w:val="18"/>
        </w:rPr>
        <w:t>(参考样稿)</w:t>
      </w:r>
      <w:r>
        <w:rPr>
          <w:b/>
          <w:bCs/>
          <w:sz w:val="24"/>
        </w:rPr>
        <w:t>:</w:t>
      </w:r>
    </w:p>
    <w:p>
      <w:pPr>
        <w:autoSpaceDE w:val="0"/>
        <w:autoSpaceDN w:val="0"/>
        <w:adjustRightInd w:val="0"/>
        <w:jc w:val="center"/>
        <w:rPr>
          <w:kern w:val="0"/>
          <w:sz w:val="24"/>
        </w:rPr>
      </w:pPr>
    </w:p>
    <w:p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吴持恭. 水力学(第三版) (上册). 北京: 高等教育出版社, 2002</w:t>
      </w:r>
      <w:r>
        <w:rPr>
          <w:i/>
          <w:iCs/>
          <w:sz w:val="18"/>
          <w:szCs w:val="18"/>
        </w:rPr>
        <w:t>（专著）</w:t>
      </w:r>
    </w:p>
    <w:p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Glover R E, Florey Q L. Stable channel profiles, US. Bureau of Reclamation. Washington, D.C., US Department of Reclamation, Hyd. Lab. Report No. Hyd-325, 1951</w:t>
      </w:r>
      <w:r>
        <w:rPr>
          <w:i/>
          <w:iCs/>
          <w:sz w:val="18"/>
          <w:szCs w:val="18"/>
        </w:rPr>
        <w:t>（期刊）</w:t>
      </w:r>
    </w:p>
    <w:p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黄才安, 赵晓冬, 周济人. 明渠水力设计中的能耗极值假说. 水道港口, 2010, 31(5): 330-334</w:t>
      </w:r>
      <w:r>
        <w:rPr>
          <w:i/>
          <w:iCs/>
          <w:sz w:val="18"/>
          <w:szCs w:val="18"/>
        </w:rPr>
        <w:t>（期刊）</w:t>
      </w:r>
    </w:p>
    <w:p>
      <w:pPr>
        <w:numPr>
          <w:ilvl w:val="0"/>
          <w:numId w:val="3"/>
        </w:numPr>
        <w:rPr>
          <w:sz w:val="18"/>
          <w:szCs w:val="18"/>
        </w:rPr>
      </w:pPr>
      <w:r>
        <w:rPr>
          <w:sz w:val="18"/>
          <w:szCs w:val="18"/>
        </w:rPr>
        <w:t>钱宁, 万兆惠, 泥沙运动力学, 北京: 科学出版社, 1983</w:t>
      </w:r>
      <w:r>
        <w:rPr>
          <w:i/>
          <w:iCs/>
          <w:sz w:val="18"/>
          <w:szCs w:val="18"/>
        </w:rPr>
        <w:t>（专著）</w:t>
      </w:r>
    </w:p>
    <w:p>
      <w:pPr>
        <w:adjustRightInd w:val="0"/>
        <w:snapToGrid w:val="0"/>
        <w:rPr>
          <w:sz w:val="18"/>
          <w:szCs w:val="18"/>
        </w:rPr>
      </w:pPr>
    </w:p>
    <w:p/>
    <w:p/>
    <w:p>
      <w:pPr>
        <w:snapToGrid w:val="0"/>
        <w:spacing w:after="40" w:line="360" w:lineRule="auto"/>
        <w:ind w:right="-57"/>
        <w:rPr>
          <w:szCs w:val="2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autoSpaceDE w:val="0"/>
        <w:autoSpaceDN w:val="0"/>
        <w:adjustRightInd w:val="0"/>
        <w:spacing w:line="300" w:lineRule="exact"/>
        <w:jc w:val="left"/>
        <w:rPr>
          <w:rFonts w:hint="eastAsia" w:ascii="宋体"/>
          <w:kern w:val="0"/>
          <w:sz w:val="18"/>
          <w:szCs w:val="18"/>
          <w:lang w:val="zh-CN"/>
        </w:rPr>
      </w:pPr>
      <w:r>
        <w:rPr>
          <w:rFonts w:hint="eastAsia" w:ascii="宋体"/>
          <w:kern w:val="0"/>
          <w:sz w:val="18"/>
          <w:szCs w:val="18"/>
          <w:lang w:val="zh-CN"/>
        </w:rPr>
        <w:t>基金项目：国家自然</w:t>
      </w:r>
      <w:r>
        <w:rPr>
          <w:rFonts w:ascii="宋体"/>
          <w:kern w:val="0"/>
          <w:sz w:val="18"/>
          <w:szCs w:val="18"/>
          <w:lang w:val="zh-CN"/>
        </w:rPr>
        <w:t>科学基金</w:t>
      </w:r>
      <w:r>
        <w:rPr>
          <w:rFonts w:hint="eastAsia" w:ascii="宋体"/>
          <w:kern w:val="0"/>
          <w:sz w:val="18"/>
          <w:szCs w:val="18"/>
          <w:lang w:val="zh-CN"/>
        </w:rPr>
        <w:t>计划项目－</w:t>
      </w:r>
      <w:r>
        <w:rPr>
          <w:kern w:val="0"/>
          <w:sz w:val="18"/>
          <w:szCs w:val="18"/>
          <w:lang w:val="zh-CN"/>
        </w:rPr>
        <w:t>XXXXXXX</w:t>
      </w:r>
      <w:r>
        <w:rPr>
          <w:rFonts w:hint="eastAsia" w:ascii="宋体"/>
          <w:kern w:val="0"/>
          <w:sz w:val="18"/>
          <w:szCs w:val="18"/>
          <w:lang w:val="zh-CN"/>
        </w:rPr>
        <w:t xml:space="preserve"> (</w:t>
      </w:r>
      <w:r>
        <w:rPr>
          <w:rFonts w:hint="eastAsia"/>
          <w:kern w:val="0"/>
          <w:sz w:val="18"/>
          <w:szCs w:val="18"/>
          <w:lang w:val="zh-CN"/>
        </w:rPr>
        <w:t>*****</w:t>
      </w:r>
      <w:r>
        <w:rPr>
          <w:rFonts w:hint="eastAsia" w:ascii="宋体"/>
          <w:kern w:val="0"/>
          <w:sz w:val="18"/>
          <w:szCs w:val="18"/>
          <w:lang w:val="zh-CN"/>
        </w:rPr>
        <w:t>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D050F2"/>
    <w:multiLevelType w:val="multilevel"/>
    <w:tmpl w:val="25D050F2"/>
    <w:lvl w:ilvl="0" w:tentative="0">
      <w:start w:val="1"/>
      <w:numFmt w:val="decimal"/>
      <w:lvlText w:val="[%1]"/>
      <w:lvlJc w:val="left"/>
      <w:pPr>
        <w:tabs>
          <w:tab w:val="left" w:pos="420"/>
        </w:tabs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38A6DBF"/>
    <w:multiLevelType w:val="multilevel"/>
    <w:tmpl w:val="338A6DBF"/>
    <w:lvl w:ilvl="0" w:tentative="0">
      <w:start w:val="1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bullet"/>
      <w:lvlText w:val="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decimal"/>
      <w:lvlText w:val="（%3）"/>
      <w:lvlJc w:val="left"/>
      <w:pPr>
        <w:tabs>
          <w:tab w:val="left" w:pos="1560"/>
        </w:tabs>
        <w:ind w:left="1560" w:hanging="7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3F2B0E7C"/>
    <w:multiLevelType w:val="multilevel"/>
    <w:tmpl w:val="3F2B0E7C"/>
    <w:lvl w:ilvl="0" w:tentative="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xNzhlMzk5ZDRlODI3YzU4M2NiNGE1MjgyZmUwMDQifQ=="/>
  </w:docVars>
  <w:rsids>
    <w:rsidRoot w:val="00FB091B"/>
    <w:rsid w:val="00007DA3"/>
    <w:rsid w:val="0001507F"/>
    <w:rsid w:val="00023946"/>
    <w:rsid w:val="000346B3"/>
    <w:rsid w:val="0003527B"/>
    <w:rsid w:val="00042D93"/>
    <w:rsid w:val="000449BB"/>
    <w:rsid w:val="000456F5"/>
    <w:rsid w:val="0004637F"/>
    <w:rsid w:val="00061EC4"/>
    <w:rsid w:val="00065984"/>
    <w:rsid w:val="00067F05"/>
    <w:rsid w:val="000849CC"/>
    <w:rsid w:val="00084CDF"/>
    <w:rsid w:val="00090CB7"/>
    <w:rsid w:val="00092C82"/>
    <w:rsid w:val="000A05C4"/>
    <w:rsid w:val="000A6358"/>
    <w:rsid w:val="000B13BD"/>
    <w:rsid w:val="000B1CCC"/>
    <w:rsid w:val="000C35EC"/>
    <w:rsid w:val="000C3DC0"/>
    <w:rsid w:val="000C3F9B"/>
    <w:rsid w:val="000D100D"/>
    <w:rsid w:val="000E0C8B"/>
    <w:rsid w:val="000F18C8"/>
    <w:rsid w:val="001118EB"/>
    <w:rsid w:val="00115FAC"/>
    <w:rsid w:val="001237F9"/>
    <w:rsid w:val="00131537"/>
    <w:rsid w:val="001442CE"/>
    <w:rsid w:val="00147DC3"/>
    <w:rsid w:val="001515AB"/>
    <w:rsid w:val="00152EF6"/>
    <w:rsid w:val="00154C25"/>
    <w:rsid w:val="00156299"/>
    <w:rsid w:val="00170A47"/>
    <w:rsid w:val="00175681"/>
    <w:rsid w:val="00176085"/>
    <w:rsid w:val="00192B74"/>
    <w:rsid w:val="001A4EAD"/>
    <w:rsid w:val="001B5E04"/>
    <w:rsid w:val="001B6ACF"/>
    <w:rsid w:val="001C289F"/>
    <w:rsid w:val="001C5B2E"/>
    <w:rsid w:val="001C689F"/>
    <w:rsid w:val="001D617A"/>
    <w:rsid w:val="00201C6C"/>
    <w:rsid w:val="00202A39"/>
    <w:rsid w:val="00202B29"/>
    <w:rsid w:val="00204745"/>
    <w:rsid w:val="00206265"/>
    <w:rsid w:val="00207A60"/>
    <w:rsid w:val="00212E3E"/>
    <w:rsid w:val="0024139E"/>
    <w:rsid w:val="00243B92"/>
    <w:rsid w:val="002474E8"/>
    <w:rsid w:val="00256AB7"/>
    <w:rsid w:val="00280248"/>
    <w:rsid w:val="00294173"/>
    <w:rsid w:val="00294499"/>
    <w:rsid w:val="002A497D"/>
    <w:rsid w:val="002B6BAE"/>
    <w:rsid w:val="002C11E1"/>
    <w:rsid w:val="002C4B0E"/>
    <w:rsid w:val="002C4EFB"/>
    <w:rsid w:val="002C6B18"/>
    <w:rsid w:val="002E2AAE"/>
    <w:rsid w:val="002F18F0"/>
    <w:rsid w:val="002F3977"/>
    <w:rsid w:val="002F6EE6"/>
    <w:rsid w:val="00302890"/>
    <w:rsid w:val="00303505"/>
    <w:rsid w:val="00305C1E"/>
    <w:rsid w:val="00325F0F"/>
    <w:rsid w:val="0034472B"/>
    <w:rsid w:val="00350576"/>
    <w:rsid w:val="003517A3"/>
    <w:rsid w:val="00352230"/>
    <w:rsid w:val="003553AE"/>
    <w:rsid w:val="00357AFC"/>
    <w:rsid w:val="00361358"/>
    <w:rsid w:val="00362053"/>
    <w:rsid w:val="00383F2F"/>
    <w:rsid w:val="003A396C"/>
    <w:rsid w:val="003A431E"/>
    <w:rsid w:val="003A6DE3"/>
    <w:rsid w:val="003B17C2"/>
    <w:rsid w:val="003B3126"/>
    <w:rsid w:val="003E0C60"/>
    <w:rsid w:val="003F0341"/>
    <w:rsid w:val="0040305F"/>
    <w:rsid w:val="004061E3"/>
    <w:rsid w:val="00410F36"/>
    <w:rsid w:val="0041303B"/>
    <w:rsid w:val="00417218"/>
    <w:rsid w:val="004272FC"/>
    <w:rsid w:val="00434451"/>
    <w:rsid w:val="00442AB9"/>
    <w:rsid w:val="00443583"/>
    <w:rsid w:val="00481B8F"/>
    <w:rsid w:val="004851CB"/>
    <w:rsid w:val="00490A30"/>
    <w:rsid w:val="004A18DC"/>
    <w:rsid w:val="004B30CD"/>
    <w:rsid w:val="004C49CB"/>
    <w:rsid w:val="004C75D9"/>
    <w:rsid w:val="004D200C"/>
    <w:rsid w:val="004F0E39"/>
    <w:rsid w:val="004F1133"/>
    <w:rsid w:val="004F651B"/>
    <w:rsid w:val="00500AAD"/>
    <w:rsid w:val="005058F4"/>
    <w:rsid w:val="00515BF8"/>
    <w:rsid w:val="0052067C"/>
    <w:rsid w:val="005222A8"/>
    <w:rsid w:val="00523B09"/>
    <w:rsid w:val="00523B33"/>
    <w:rsid w:val="00525EB8"/>
    <w:rsid w:val="005264AB"/>
    <w:rsid w:val="005343EC"/>
    <w:rsid w:val="005367DA"/>
    <w:rsid w:val="005442DF"/>
    <w:rsid w:val="0054728E"/>
    <w:rsid w:val="00552134"/>
    <w:rsid w:val="00555E51"/>
    <w:rsid w:val="005564CF"/>
    <w:rsid w:val="00576E46"/>
    <w:rsid w:val="00577D27"/>
    <w:rsid w:val="00584760"/>
    <w:rsid w:val="00586BA0"/>
    <w:rsid w:val="00597D74"/>
    <w:rsid w:val="005B24F3"/>
    <w:rsid w:val="005B3D5A"/>
    <w:rsid w:val="005B4139"/>
    <w:rsid w:val="005B535B"/>
    <w:rsid w:val="005D6E00"/>
    <w:rsid w:val="005E557B"/>
    <w:rsid w:val="005F171C"/>
    <w:rsid w:val="005F5AC8"/>
    <w:rsid w:val="00625217"/>
    <w:rsid w:val="006321C9"/>
    <w:rsid w:val="00636457"/>
    <w:rsid w:val="00641A1D"/>
    <w:rsid w:val="006420E8"/>
    <w:rsid w:val="0065209F"/>
    <w:rsid w:val="00653571"/>
    <w:rsid w:val="006614B9"/>
    <w:rsid w:val="006641B1"/>
    <w:rsid w:val="006642FC"/>
    <w:rsid w:val="006678AA"/>
    <w:rsid w:val="006774A0"/>
    <w:rsid w:val="006876EE"/>
    <w:rsid w:val="0069221B"/>
    <w:rsid w:val="006A18C9"/>
    <w:rsid w:val="006B5F0E"/>
    <w:rsid w:val="006B6CBF"/>
    <w:rsid w:val="006C137B"/>
    <w:rsid w:val="006C390F"/>
    <w:rsid w:val="006C6F30"/>
    <w:rsid w:val="006F27B5"/>
    <w:rsid w:val="006F4266"/>
    <w:rsid w:val="006F751F"/>
    <w:rsid w:val="0070367A"/>
    <w:rsid w:val="007209F8"/>
    <w:rsid w:val="00724CCC"/>
    <w:rsid w:val="00730B8D"/>
    <w:rsid w:val="00737336"/>
    <w:rsid w:val="0074666B"/>
    <w:rsid w:val="007542D6"/>
    <w:rsid w:val="00756E35"/>
    <w:rsid w:val="00760474"/>
    <w:rsid w:val="00762673"/>
    <w:rsid w:val="007633FA"/>
    <w:rsid w:val="007676E5"/>
    <w:rsid w:val="00770079"/>
    <w:rsid w:val="00772CBD"/>
    <w:rsid w:val="007818A4"/>
    <w:rsid w:val="0078677A"/>
    <w:rsid w:val="007870FB"/>
    <w:rsid w:val="00787A11"/>
    <w:rsid w:val="00792686"/>
    <w:rsid w:val="007B6FA8"/>
    <w:rsid w:val="007C1232"/>
    <w:rsid w:val="007E1673"/>
    <w:rsid w:val="007E1930"/>
    <w:rsid w:val="007F06D6"/>
    <w:rsid w:val="007F4B22"/>
    <w:rsid w:val="007F7449"/>
    <w:rsid w:val="00803072"/>
    <w:rsid w:val="00807975"/>
    <w:rsid w:val="008175D6"/>
    <w:rsid w:val="0082615A"/>
    <w:rsid w:val="008349BE"/>
    <w:rsid w:val="0084192B"/>
    <w:rsid w:val="00842461"/>
    <w:rsid w:val="008508E4"/>
    <w:rsid w:val="00863BA6"/>
    <w:rsid w:val="008763F3"/>
    <w:rsid w:val="00876F1B"/>
    <w:rsid w:val="00882265"/>
    <w:rsid w:val="008A0209"/>
    <w:rsid w:val="008A2C0B"/>
    <w:rsid w:val="008B0A33"/>
    <w:rsid w:val="008B4F06"/>
    <w:rsid w:val="008C505F"/>
    <w:rsid w:val="008E3366"/>
    <w:rsid w:val="008F33F4"/>
    <w:rsid w:val="009251ED"/>
    <w:rsid w:val="0093378B"/>
    <w:rsid w:val="00934E41"/>
    <w:rsid w:val="00944212"/>
    <w:rsid w:val="00946FBA"/>
    <w:rsid w:val="009507D8"/>
    <w:rsid w:val="009547BE"/>
    <w:rsid w:val="00954EFB"/>
    <w:rsid w:val="00964500"/>
    <w:rsid w:val="00970213"/>
    <w:rsid w:val="00982DBC"/>
    <w:rsid w:val="00996821"/>
    <w:rsid w:val="00997F90"/>
    <w:rsid w:val="009A7A38"/>
    <w:rsid w:val="009A7F32"/>
    <w:rsid w:val="009C0DA5"/>
    <w:rsid w:val="009C3061"/>
    <w:rsid w:val="009C5934"/>
    <w:rsid w:val="009C7857"/>
    <w:rsid w:val="009C7B37"/>
    <w:rsid w:val="009D43A2"/>
    <w:rsid w:val="009E4BF6"/>
    <w:rsid w:val="009E6D70"/>
    <w:rsid w:val="00A0033B"/>
    <w:rsid w:val="00A10358"/>
    <w:rsid w:val="00A143CB"/>
    <w:rsid w:val="00A216DA"/>
    <w:rsid w:val="00A23438"/>
    <w:rsid w:val="00A259C3"/>
    <w:rsid w:val="00A46066"/>
    <w:rsid w:val="00A4659A"/>
    <w:rsid w:val="00A57782"/>
    <w:rsid w:val="00A620D8"/>
    <w:rsid w:val="00A66B24"/>
    <w:rsid w:val="00A6785B"/>
    <w:rsid w:val="00A82491"/>
    <w:rsid w:val="00A8363D"/>
    <w:rsid w:val="00A8568A"/>
    <w:rsid w:val="00A94E97"/>
    <w:rsid w:val="00AA3669"/>
    <w:rsid w:val="00AA7DFD"/>
    <w:rsid w:val="00AB2E65"/>
    <w:rsid w:val="00AC3A94"/>
    <w:rsid w:val="00AD00ED"/>
    <w:rsid w:val="00AD2E6D"/>
    <w:rsid w:val="00AE2344"/>
    <w:rsid w:val="00AE4545"/>
    <w:rsid w:val="00AE4F9D"/>
    <w:rsid w:val="00AE557E"/>
    <w:rsid w:val="00AE55E8"/>
    <w:rsid w:val="00AE62E8"/>
    <w:rsid w:val="00AE6427"/>
    <w:rsid w:val="00B01847"/>
    <w:rsid w:val="00B0216D"/>
    <w:rsid w:val="00B047B6"/>
    <w:rsid w:val="00B0754D"/>
    <w:rsid w:val="00B120BA"/>
    <w:rsid w:val="00B16424"/>
    <w:rsid w:val="00B35CAF"/>
    <w:rsid w:val="00B51EF3"/>
    <w:rsid w:val="00B55159"/>
    <w:rsid w:val="00B5736C"/>
    <w:rsid w:val="00B62F85"/>
    <w:rsid w:val="00B73484"/>
    <w:rsid w:val="00B735F4"/>
    <w:rsid w:val="00B75C77"/>
    <w:rsid w:val="00B83829"/>
    <w:rsid w:val="00B93266"/>
    <w:rsid w:val="00B94E47"/>
    <w:rsid w:val="00B952A5"/>
    <w:rsid w:val="00B9574F"/>
    <w:rsid w:val="00BA2E9C"/>
    <w:rsid w:val="00BA3646"/>
    <w:rsid w:val="00BA5340"/>
    <w:rsid w:val="00BA57C6"/>
    <w:rsid w:val="00BB0A58"/>
    <w:rsid w:val="00BB7581"/>
    <w:rsid w:val="00BC2301"/>
    <w:rsid w:val="00BC5E95"/>
    <w:rsid w:val="00BC6C57"/>
    <w:rsid w:val="00BD1018"/>
    <w:rsid w:val="00BE191D"/>
    <w:rsid w:val="00BE5E81"/>
    <w:rsid w:val="00BE6E93"/>
    <w:rsid w:val="00BF4813"/>
    <w:rsid w:val="00BF65A9"/>
    <w:rsid w:val="00C115F3"/>
    <w:rsid w:val="00C229FD"/>
    <w:rsid w:val="00C30B67"/>
    <w:rsid w:val="00C31393"/>
    <w:rsid w:val="00C4372A"/>
    <w:rsid w:val="00C53E8C"/>
    <w:rsid w:val="00C54C7D"/>
    <w:rsid w:val="00C62F4B"/>
    <w:rsid w:val="00C709CD"/>
    <w:rsid w:val="00C7768F"/>
    <w:rsid w:val="00C80B41"/>
    <w:rsid w:val="00C82D3F"/>
    <w:rsid w:val="00C83093"/>
    <w:rsid w:val="00C85947"/>
    <w:rsid w:val="00C9297A"/>
    <w:rsid w:val="00CA55FB"/>
    <w:rsid w:val="00CA6E45"/>
    <w:rsid w:val="00CB7C2D"/>
    <w:rsid w:val="00CD5659"/>
    <w:rsid w:val="00CD7612"/>
    <w:rsid w:val="00CE6584"/>
    <w:rsid w:val="00CE7035"/>
    <w:rsid w:val="00CF17FC"/>
    <w:rsid w:val="00CF75CC"/>
    <w:rsid w:val="00D103C9"/>
    <w:rsid w:val="00D12602"/>
    <w:rsid w:val="00D14214"/>
    <w:rsid w:val="00D151B3"/>
    <w:rsid w:val="00D32930"/>
    <w:rsid w:val="00D46B6C"/>
    <w:rsid w:val="00D5308F"/>
    <w:rsid w:val="00D57B68"/>
    <w:rsid w:val="00D6234A"/>
    <w:rsid w:val="00D71868"/>
    <w:rsid w:val="00D76C78"/>
    <w:rsid w:val="00D76EE2"/>
    <w:rsid w:val="00D83DDD"/>
    <w:rsid w:val="00D85BF9"/>
    <w:rsid w:val="00D92868"/>
    <w:rsid w:val="00D93782"/>
    <w:rsid w:val="00D950A7"/>
    <w:rsid w:val="00DA16A7"/>
    <w:rsid w:val="00DB43B7"/>
    <w:rsid w:val="00DC4F6B"/>
    <w:rsid w:val="00DD2521"/>
    <w:rsid w:val="00DD54B7"/>
    <w:rsid w:val="00DE14A5"/>
    <w:rsid w:val="00DE6FD9"/>
    <w:rsid w:val="00E00F71"/>
    <w:rsid w:val="00E06502"/>
    <w:rsid w:val="00E06DB2"/>
    <w:rsid w:val="00E14069"/>
    <w:rsid w:val="00E15105"/>
    <w:rsid w:val="00E17446"/>
    <w:rsid w:val="00E21F96"/>
    <w:rsid w:val="00E23A8C"/>
    <w:rsid w:val="00E47CEA"/>
    <w:rsid w:val="00E506A6"/>
    <w:rsid w:val="00E57771"/>
    <w:rsid w:val="00E66396"/>
    <w:rsid w:val="00E74B48"/>
    <w:rsid w:val="00E801F7"/>
    <w:rsid w:val="00E8208B"/>
    <w:rsid w:val="00E8591B"/>
    <w:rsid w:val="00E91F48"/>
    <w:rsid w:val="00E941DE"/>
    <w:rsid w:val="00EA3E68"/>
    <w:rsid w:val="00EA7820"/>
    <w:rsid w:val="00EB1521"/>
    <w:rsid w:val="00EB4EE5"/>
    <w:rsid w:val="00EE1F7E"/>
    <w:rsid w:val="00EE52BB"/>
    <w:rsid w:val="00F01A25"/>
    <w:rsid w:val="00F2267D"/>
    <w:rsid w:val="00F22840"/>
    <w:rsid w:val="00F32787"/>
    <w:rsid w:val="00F37E03"/>
    <w:rsid w:val="00F40A24"/>
    <w:rsid w:val="00F415A6"/>
    <w:rsid w:val="00F50420"/>
    <w:rsid w:val="00F50E19"/>
    <w:rsid w:val="00F51017"/>
    <w:rsid w:val="00F51AE6"/>
    <w:rsid w:val="00F65116"/>
    <w:rsid w:val="00F70078"/>
    <w:rsid w:val="00F715A2"/>
    <w:rsid w:val="00F93094"/>
    <w:rsid w:val="00F94773"/>
    <w:rsid w:val="00F94A8E"/>
    <w:rsid w:val="00FA23A6"/>
    <w:rsid w:val="00FB091B"/>
    <w:rsid w:val="00FB50A0"/>
    <w:rsid w:val="00FB5DE7"/>
    <w:rsid w:val="00FC0129"/>
    <w:rsid w:val="00FC1483"/>
    <w:rsid w:val="00FC48A9"/>
    <w:rsid w:val="00FC4E2D"/>
    <w:rsid w:val="00FC5183"/>
    <w:rsid w:val="00FD0CB8"/>
    <w:rsid w:val="00FD475C"/>
    <w:rsid w:val="00FD59FD"/>
    <w:rsid w:val="00FE4B5F"/>
    <w:rsid w:val="00FF2A80"/>
    <w:rsid w:val="02AE2613"/>
    <w:rsid w:val="02F26862"/>
    <w:rsid w:val="04911B08"/>
    <w:rsid w:val="04D53DE4"/>
    <w:rsid w:val="05C32327"/>
    <w:rsid w:val="08EA2280"/>
    <w:rsid w:val="0D5901D6"/>
    <w:rsid w:val="10214540"/>
    <w:rsid w:val="10330383"/>
    <w:rsid w:val="11B2578D"/>
    <w:rsid w:val="163C3A94"/>
    <w:rsid w:val="16B44444"/>
    <w:rsid w:val="16ED2FA6"/>
    <w:rsid w:val="18445964"/>
    <w:rsid w:val="1C867879"/>
    <w:rsid w:val="1C8B63A7"/>
    <w:rsid w:val="1D1459E7"/>
    <w:rsid w:val="1EE22B21"/>
    <w:rsid w:val="20524384"/>
    <w:rsid w:val="24C91D38"/>
    <w:rsid w:val="26B11081"/>
    <w:rsid w:val="2F360186"/>
    <w:rsid w:val="354E1509"/>
    <w:rsid w:val="39B76556"/>
    <w:rsid w:val="3C8004EC"/>
    <w:rsid w:val="3E47743A"/>
    <w:rsid w:val="3E9871DD"/>
    <w:rsid w:val="401F5948"/>
    <w:rsid w:val="40FD7CD8"/>
    <w:rsid w:val="42B3539D"/>
    <w:rsid w:val="477F266C"/>
    <w:rsid w:val="4B2D752B"/>
    <w:rsid w:val="4B683B54"/>
    <w:rsid w:val="4CFA4C80"/>
    <w:rsid w:val="4D5652E7"/>
    <w:rsid w:val="4E7208D2"/>
    <w:rsid w:val="4E852BF8"/>
    <w:rsid w:val="4F932E67"/>
    <w:rsid w:val="5263094B"/>
    <w:rsid w:val="57746A32"/>
    <w:rsid w:val="58B74F9B"/>
    <w:rsid w:val="5C967D75"/>
    <w:rsid w:val="5CBC14E3"/>
    <w:rsid w:val="5CE73890"/>
    <w:rsid w:val="5E4E52D5"/>
    <w:rsid w:val="5FA933B1"/>
    <w:rsid w:val="61120617"/>
    <w:rsid w:val="616C6076"/>
    <w:rsid w:val="61E82EA1"/>
    <w:rsid w:val="64B67B67"/>
    <w:rsid w:val="653B4197"/>
    <w:rsid w:val="66816B55"/>
    <w:rsid w:val="69904D20"/>
    <w:rsid w:val="6ACF5829"/>
    <w:rsid w:val="6EA939B8"/>
    <w:rsid w:val="6EAE6B68"/>
    <w:rsid w:val="6F0176E3"/>
    <w:rsid w:val="6FB77BDE"/>
    <w:rsid w:val="72450DE5"/>
    <w:rsid w:val="74714F78"/>
    <w:rsid w:val="773559C0"/>
    <w:rsid w:val="78D51CE8"/>
    <w:rsid w:val="7B1001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unhideWhenUsed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16"/>
    <w:unhideWhenUsed/>
    <w:uiPriority w:val="99"/>
    <w:pPr>
      <w:jc w:val="left"/>
    </w:pPr>
  </w:style>
  <w:style w:type="paragraph" w:styleId="4">
    <w:name w:val="Date"/>
    <w:basedOn w:val="1"/>
    <w:next w:val="1"/>
    <w:link w:val="17"/>
    <w:unhideWhenUsed/>
    <w:uiPriority w:val="99"/>
    <w:rPr>
      <w:kern w:val="0"/>
      <w:sz w:val="24"/>
      <w:szCs w:val="20"/>
    </w:rPr>
  </w:style>
  <w:style w:type="paragraph" w:styleId="5">
    <w:name w:val="Balloon Text"/>
    <w:basedOn w:val="1"/>
    <w:link w:val="18"/>
    <w:unhideWhenUsed/>
    <w:uiPriority w:val="99"/>
    <w:rPr>
      <w:sz w:val="18"/>
      <w:szCs w:val="18"/>
    </w:rPr>
  </w:style>
  <w:style w:type="paragraph" w:styleId="6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3"/>
    <w:next w:val="3"/>
    <w:link w:val="21"/>
    <w:unhideWhenUsed/>
    <w:uiPriority w:val="99"/>
    <w:rPr>
      <w:b/>
      <w:bCs/>
    </w:rPr>
  </w:style>
  <w:style w:type="table" w:styleId="10">
    <w:name w:val="Table Grid"/>
    <w:basedOn w:val="9"/>
    <w:uiPriority w:val="0"/>
    <w:pPr>
      <w:widowControl w:val="0"/>
      <w:jc w:val="both"/>
    </w:p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unhideWhenUsed/>
    <w:uiPriority w:val="99"/>
    <w:rPr>
      <w:color w:val="0000FF"/>
      <w:u w:val="single"/>
    </w:rPr>
  </w:style>
  <w:style w:type="character" w:styleId="13">
    <w:name w:val="annotation reference"/>
    <w:unhideWhenUsed/>
    <w:uiPriority w:val="99"/>
    <w:rPr>
      <w:sz w:val="21"/>
      <w:szCs w:val="21"/>
    </w:rPr>
  </w:style>
  <w:style w:type="character" w:styleId="14">
    <w:name w:val="footnote reference"/>
    <w:semiHidden/>
    <w:qFormat/>
    <w:uiPriority w:val="0"/>
    <w:rPr>
      <w:vertAlign w:val="superscript"/>
    </w:rPr>
  </w:style>
  <w:style w:type="character" w:customStyle="1" w:styleId="15">
    <w:name w:val="文档结构图 Char"/>
    <w:link w:val="2"/>
    <w:semiHidden/>
    <w:uiPriority w:val="99"/>
    <w:rPr>
      <w:rFonts w:ascii="宋体"/>
      <w:kern w:val="2"/>
      <w:sz w:val="18"/>
      <w:szCs w:val="18"/>
    </w:rPr>
  </w:style>
  <w:style w:type="character" w:customStyle="1" w:styleId="16">
    <w:name w:val="批注文字 Char"/>
    <w:link w:val="3"/>
    <w:semiHidden/>
    <w:uiPriority w:val="99"/>
    <w:rPr>
      <w:kern w:val="2"/>
      <w:sz w:val="21"/>
      <w:szCs w:val="22"/>
    </w:rPr>
  </w:style>
  <w:style w:type="character" w:customStyle="1" w:styleId="17">
    <w:name w:val="日期 Char"/>
    <w:link w:val="4"/>
    <w:semiHidden/>
    <w:uiPriority w:val="99"/>
    <w:rPr>
      <w:rFonts w:ascii="Times New Roman" w:hAnsi="Times New Roman" w:eastAsia="宋体" w:cs="Times New Roman"/>
      <w:sz w:val="24"/>
      <w:szCs w:val="20"/>
    </w:rPr>
  </w:style>
  <w:style w:type="character" w:customStyle="1" w:styleId="18">
    <w:name w:val="批注框文本 Char"/>
    <w:link w:val="5"/>
    <w:semiHidden/>
    <w:uiPriority w:val="99"/>
    <w:rPr>
      <w:kern w:val="2"/>
      <w:sz w:val="18"/>
      <w:szCs w:val="18"/>
    </w:rPr>
  </w:style>
  <w:style w:type="character" w:customStyle="1" w:styleId="19">
    <w:name w:val="页脚 Char"/>
    <w:link w:val="6"/>
    <w:uiPriority w:val="99"/>
    <w:rPr>
      <w:kern w:val="2"/>
      <w:sz w:val="18"/>
      <w:szCs w:val="18"/>
    </w:rPr>
  </w:style>
  <w:style w:type="character" w:customStyle="1" w:styleId="20">
    <w:name w:val="页眉 Char"/>
    <w:link w:val="7"/>
    <w:uiPriority w:val="99"/>
    <w:rPr>
      <w:kern w:val="2"/>
      <w:sz w:val="18"/>
      <w:szCs w:val="18"/>
    </w:rPr>
  </w:style>
  <w:style w:type="character" w:customStyle="1" w:styleId="21">
    <w:name w:val="批注主题 Char"/>
    <w:link w:val="8"/>
    <w:semiHidden/>
    <w:uiPriority w:val="99"/>
    <w:rPr>
      <w:b/>
      <w:bCs/>
      <w:kern w:val="2"/>
      <w:sz w:val="21"/>
      <w:szCs w:val="22"/>
    </w:rPr>
  </w:style>
  <w:style w:type="character" w:customStyle="1" w:styleId="22">
    <w:name w:val="未处理的提及"/>
    <w:unhideWhenUsed/>
    <w:uiPriority w:val="99"/>
    <w:rPr>
      <w:color w:val="605E5C"/>
      <w:shd w:val="clear" w:color="auto" w:fill="E1DFDD"/>
    </w:rPr>
  </w:style>
  <w:style w:type="character" w:customStyle="1" w:styleId="23">
    <w:name w:val="on[data-v-eddb897a]"/>
    <w:uiPriority w:val="0"/>
    <w:rPr>
      <w:shd w:val="clear" w:color="auto" w:fill="FFFF00"/>
    </w:rPr>
  </w:style>
  <w:style w:type="character" w:customStyle="1" w:styleId="24">
    <w:name w:val="on[data-v-435fa905]"/>
    <w:uiPriority w:val="0"/>
    <w:rPr>
      <w:shd w:val="clear" w:color="auto" w:fill="FFFF00"/>
    </w:rPr>
  </w:style>
  <w:style w:type="character" w:customStyle="1" w:styleId="25">
    <w:name w:val="on[data-v-f49fdca8]"/>
    <w:uiPriority w:val="0"/>
    <w:rPr>
      <w:shd w:val="clear" w:color="auto" w:fill="FFFF00"/>
    </w:rPr>
  </w:style>
  <w:style w:type="character" w:customStyle="1" w:styleId="26">
    <w:name w:val="on[data-v-6014e415]"/>
    <w:uiPriority w:val="0"/>
    <w:rPr>
      <w:shd w:val="clear" w:color="auto" w:fill="FFFF00"/>
    </w:rPr>
  </w:style>
  <w:style w:type="character" w:customStyle="1" w:styleId="27">
    <w:name w:val="on[data-v-99a7a0ac]"/>
    <w:uiPriority w:val="0"/>
    <w:rPr>
      <w:shd w:val="clear" w:color="auto" w:fill="FFFF00"/>
    </w:rPr>
  </w:style>
  <w:style w:type="character" w:customStyle="1" w:styleId="28">
    <w:name w:val="on[data-v-4da02338]"/>
    <w:uiPriority w:val="0"/>
    <w:rPr>
      <w:shd w:val="clear" w:color="auto" w:fill="FFFF00"/>
    </w:rPr>
  </w:style>
  <w:style w:type="character" w:customStyle="1" w:styleId="29">
    <w:name w:val="on[data-v-6ac3f494]"/>
    <w:uiPriority w:val="0"/>
    <w:rPr>
      <w:shd w:val="clear" w:color="auto" w:fill="FFFF00"/>
    </w:rPr>
  </w:style>
  <w:style w:type="character" w:customStyle="1" w:styleId="30">
    <w:name w:val="on[data-v-2cc3a864]"/>
    <w:uiPriority w:val="0"/>
    <w:rPr>
      <w:shd w:val="clear" w:color="auto" w:fill="FFFF00"/>
    </w:rPr>
  </w:style>
  <w:style w:type="character" w:customStyle="1" w:styleId="31">
    <w:name w:val="on[data-v-6de4edb7]"/>
    <w:uiPriority w:val="0"/>
    <w:rPr>
      <w:shd w:val="clear" w:color="auto" w:fill="FFFF00"/>
    </w:rPr>
  </w:style>
  <w:style w:type="character" w:customStyle="1" w:styleId="32">
    <w:name w:val="on[data-v-7d283436]"/>
    <w:uiPriority w:val="0"/>
    <w:rPr>
      <w:shd w:val="clear" w:color="auto" w:fill="FFFF00"/>
    </w:rPr>
  </w:style>
  <w:style w:type="character" w:customStyle="1" w:styleId="33">
    <w:name w:val="on[data-v-396c35e4]"/>
    <w:uiPriority w:val="0"/>
    <w:rPr>
      <w:shd w:val="clear" w:color="auto" w:fill="FFFF00"/>
    </w:rPr>
  </w:style>
  <w:style w:type="character" w:customStyle="1" w:styleId="34">
    <w:name w:val="on[data-v-d3d48710]"/>
    <w:uiPriority w:val="0"/>
    <w:rPr>
      <w:shd w:val="clear" w:color="auto" w:fill="FFFF00"/>
    </w:rPr>
  </w:style>
  <w:style w:type="character" w:customStyle="1" w:styleId="35">
    <w:name w:val="on[data-v-0118fe23]"/>
    <w:uiPriority w:val="0"/>
    <w:rPr>
      <w:shd w:val="clear" w:color="auto" w:fill="FFFF00"/>
    </w:rPr>
  </w:style>
  <w:style w:type="character" w:customStyle="1" w:styleId="36">
    <w:name w:val="on[data-v-24226eb6]"/>
    <w:uiPriority w:val="0"/>
    <w:rPr>
      <w:shd w:val="clear" w:color="auto" w:fill="FFFF00"/>
    </w:rPr>
  </w:style>
  <w:style w:type="character" w:customStyle="1" w:styleId="37">
    <w:name w:val="on[data-v-6bf48521]"/>
    <w:uiPriority w:val="0"/>
    <w:rPr>
      <w:shd w:val="clear" w:color="auto" w:fill="FFFF00"/>
    </w:rPr>
  </w:style>
  <w:style w:type="character" w:customStyle="1" w:styleId="38">
    <w:name w:val="not([class*=suffix])"/>
    <w:uiPriority w:val="0"/>
    <w:rPr>
      <w:sz w:val="19"/>
      <w:szCs w:val="19"/>
    </w:rPr>
  </w:style>
  <w:style w:type="character" w:customStyle="1" w:styleId="39">
    <w:name w:val="not([class*=suffix])1"/>
    <w:uiPriority w:val="0"/>
  </w:style>
  <w:style w:type="character" w:customStyle="1" w:styleId="40">
    <w:name w:val="Unresolved Mention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wmf"/><Relationship Id="rId8" Type="http://schemas.openxmlformats.org/officeDocument/2006/relationships/oleObject" Target="embeddings/oleObject2.bin"/><Relationship Id="rId7" Type="http://schemas.openxmlformats.org/officeDocument/2006/relationships/image" Target="media/image2.wmf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5.wmf"/><Relationship Id="rId12" Type="http://schemas.openxmlformats.org/officeDocument/2006/relationships/oleObject" Target="embeddings/oleObject4.bin"/><Relationship Id="rId11" Type="http://schemas.openxmlformats.org/officeDocument/2006/relationships/image" Target="media/image4.wmf"/><Relationship Id="rId10" Type="http://schemas.openxmlformats.org/officeDocument/2006/relationships/oleObject" Target="embeddings/oleObject3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tju</Company>
  <Pages>9</Pages>
  <Words>799</Words>
  <Characters>4555</Characters>
  <Lines>37</Lines>
  <Paragraphs>10</Paragraphs>
  <TotalTime>2</TotalTime>
  <ScaleCrop>false</ScaleCrop>
  <LinksUpToDate>false</LinksUpToDate>
  <CharactersWithSpaces>5344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2024-01-11T01:34:00Z</dcterms:created>
  <dc:creator>fiend</dc:creator>
  <cp:lastModifiedBy>Leiothrix</cp:lastModifiedBy>
  <cp:lastPrinted>2024-01-11T01:37:00Z</cp:lastPrinted>
  <dcterms:modified xsi:type="dcterms:W3CDTF">2024-01-11T09:08:38Z</dcterms:modified>
  <dc:title>第一轮通知及征集论文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96261A26541B4111A741A5C270F291EF_13</vt:lpwstr>
  </property>
</Properties>
</file>