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全文模板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点火条件下炸药燃烧....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（2号黑体）</w:t>
      </w:r>
    </w:p>
    <w:p>
      <w:pPr>
        <w:jc w:val="center"/>
        <w:rPr>
          <w:rFonts w:hint="default" w:ascii="Times New Roman" w:hAnsi="Times New Roman" w:eastAsia="仿宋_GB2312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张三， 李一四</w:t>
      </w:r>
      <w:r>
        <w:rPr>
          <w:rFonts w:hint="default" w:ascii="Times New Roman" w:hAnsi="Times New Roman" w:eastAsia="仿宋_GB2312" w:cs="Times New Roman"/>
          <w:color w:val="FF0000"/>
          <w:sz w:val="28"/>
          <w:szCs w:val="28"/>
        </w:rPr>
        <w:t>（4号仿宋）</w:t>
      </w:r>
    </w:p>
    <w:p>
      <w:pPr>
        <w:jc w:val="center"/>
        <w:rPr>
          <w:rFonts w:hint="default" w:ascii="Times New Roman" w:hAnsi="Times New Roman" w:eastAsia="黑体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15"/>
          <w:szCs w:val="15"/>
        </w:rPr>
        <w:t>（单位名称,城市，100000）</w:t>
      </w:r>
      <w:r>
        <w:rPr>
          <w:rFonts w:hint="default" w:ascii="Times New Roman" w:hAnsi="Times New Roman" w:eastAsia="黑体" w:cs="Times New Roman"/>
          <w:color w:val="FF0000"/>
          <w:sz w:val="28"/>
          <w:szCs w:val="28"/>
        </w:rPr>
        <w:t>（6号黑体）</w:t>
      </w:r>
    </w:p>
    <w:p>
      <w:pPr>
        <w:jc w:val="center"/>
        <w:rPr>
          <w:rFonts w:hint="default" w:ascii="Times New Roman" w:hAnsi="Times New Roman" w:eastAsia="仿宋_GB2312" w:cs="Times New Roman"/>
          <w:szCs w:val="21"/>
        </w:rPr>
      </w:pPr>
    </w:p>
    <w:p>
      <w:p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摘  要：</w:t>
      </w:r>
      <w:r>
        <w:rPr>
          <w:rFonts w:hint="default" w:ascii="Times New Roman" w:hAnsi="Times New Roman" w:cs="Times New Roman"/>
          <w:b/>
          <w:color w:val="FF0000"/>
          <w:sz w:val="30"/>
          <w:szCs w:val="30"/>
        </w:rPr>
        <w:t>（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小5黑体）</w:t>
      </w:r>
      <w:r>
        <w:rPr>
          <w:rFonts w:hint="default" w:ascii="Times New Roman" w:hAnsi="Times New Roman" w:cs="Times New Roman"/>
          <w:b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>在相对较弱的点火条件下，</w:t>
      </w:r>
      <w:r>
        <w:rPr>
          <w:rFonts w:hint="default" w:ascii="Times New Roman" w:hAnsi="Times New Roman" w:eastAsia="仿宋_GB2312" w:cs="Times New Roman"/>
          <w:szCs w:val="28"/>
        </w:rPr>
        <w:t>……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（小5宋体）</w:t>
      </w:r>
    </w:p>
    <w:p>
      <w:pPr>
        <w:spacing w:line="300" w:lineRule="auto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关键词：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（小5黑体）</w:t>
      </w:r>
      <w:r>
        <w:rPr>
          <w:rFonts w:hint="default" w:ascii="Times New Roman" w:hAnsi="Times New Roman" w:cs="Times New Roman"/>
          <w:b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燃烧转爆轰；XXXX；XXXX；XXXXX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(3至8个）</w:t>
      </w:r>
    </w:p>
    <w:p>
      <w:pPr>
        <w:spacing w:line="300" w:lineRule="auto"/>
        <w:rPr>
          <w:rFonts w:hint="default" w:ascii="Times New Roman" w:hAnsi="Times New Roman" w:cs="Times New Roman"/>
          <w:b/>
          <w:color w:val="FF0000"/>
          <w:sz w:val="30"/>
          <w:szCs w:val="30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[中图分类号]  O38              [文献标志码] Ａ   </w:t>
      </w:r>
      <w:r>
        <w:rPr>
          <w:rFonts w:hint="default" w:ascii="Times New Roman" w:hAnsi="Times New Roman" w:cs="Times New Roman"/>
          <w:b/>
          <w:color w:val="FF0000"/>
          <w:sz w:val="30"/>
          <w:szCs w:val="30"/>
        </w:rPr>
        <w:t>（小5黑体）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b/>
          <w:color w:val="FF0000"/>
          <w:sz w:val="30"/>
          <w:szCs w:val="30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0  引言</w:t>
      </w:r>
      <w:r>
        <w:rPr>
          <w:rFonts w:hint="default" w:ascii="Times New Roman" w:hAnsi="Times New Roman" w:cs="Times New Roman"/>
          <w:b/>
          <w:color w:val="FF0000"/>
          <w:sz w:val="30"/>
          <w:szCs w:val="30"/>
        </w:rPr>
        <w:t>（4号加粗宋体）</w:t>
      </w: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</w:rPr>
        <w:t>燃烧转爆轰（DDT）是炸药的重要特征之一。DDT过程非常复杂，Bernecker等</w:t>
      </w:r>
      <w:r>
        <w:rPr>
          <w:rFonts w:hint="default" w:ascii="Times New Roman" w:hAnsi="Times New Roman" w:cs="Times New Roman"/>
          <w:vertAlign w:val="superscript"/>
        </w:rPr>
        <w:t>[1]</w:t>
      </w:r>
      <w:r>
        <w:rPr>
          <w:rFonts w:hint="default" w:ascii="Times New Roman" w:hAnsi="Times New Roman" w:cs="Times New Roman"/>
        </w:rPr>
        <w:t>将DDT过程概括</w:t>
      </w:r>
      <w:r>
        <w:rPr>
          <w:rFonts w:hint="default" w:ascii="Times New Roman" w:hAnsi="Times New Roman" w:eastAsia="仿宋_GB2312" w:cs="Times New Roman"/>
          <w:szCs w:val="28"/>
        </w:rPr>
        <w:t>……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（正文5号宋体）</w:t>
      </w: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  物理模型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以PSK模型为基础，一维两相流方程为</w:t>
      </w:r>
    </w:p>
    <w:p>
      <w:pPr>
        <w:spacing w:line="360" w:lineRule="auto"/>
        <w:ind w:firstLine="420" w:firstLineChars="200"/>
        <w:jc w:val="center"/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position w:val="-32"/>
        </w:rPr>
        <w:t xml:space="preserve">  </w:t>
      </w:r>
      <w:r>
        <w:rPr>
          <w:rFonts w:hint="default" w:ascii="Times New Roman" w:hAnsi="Times New Roman" w:cs="Times New Roman"/>
          <w:position w:val="-32"/>
        </w:rPr>
        <w:object>
          <v:shape id="_x0000_i1025" o:spt="75" type="#_x0000_t75" style="height:38.15pt;width:274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32"/>
        </w:rPr>
        <w:t xml:space="preserve">   ，         </w:t>
      </w:r>
      <w:r>
        <w:rPr>
          <w:rFonts w:hint="default" w:ascii="Times New Roman" w:hAnsi="Times New Roman" w:cs="Times New Roman"/>
          <w:lang w:val="en-GB"/>
        </w:rPr>
        <w:t>(1)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lang w:val="en-GB"/>
        </w:rPr>
        <w:t xml:space="preserve">                       </w:t>
      </w:r>
    </w:p>
    <w:p>
      <w:pPr>
        <w:spacing w:line="360" w:lineRule="auto"/>
        <w:ind w:firstLine="420" w:firstLineChars="200"/>
        <w:jc w:val="center"/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</w:rPr>
        <w:t xml:space="preserve">                               ......                         </w:t>
      </w:r>
      <w:r>
        <w:rPr>
          <w:rFonts w:hint="default" w:ascii="Times New Roman" w:hAnsi="Times New Roman" w:cs="Times New Roman"/>
          <w:lang w:val="en-GB"/>
        </w:rPr>
        <w:t>(2)</w:t>
      </w:r>
    </w:p>
    <w:p>
      <w:pPr>
        <w:spacing w:line="360" w:lineRule="auto"/>
        <w:rPr>
          <w:rFonts w:hint="default" w:ascii="Times New Roman" w:hAnsi="Times New Roman" w:cs="Times New Roman"/>
          <w:color w:val="FF0000"/>
          <w:sz w:val="28"/>
          <w:szCs w:val="28"/>
          <w:lang w:val="en-GB"/>
        </w:rPr>
      </w:pPr>
      <w:r>
        <w:rPr>
          <w:rFonts w:hint="default" w:ascii="Times New Roman" w:hAnsi="Times New Roman" w:eastAsia="仿宋_GB2312" w:cs="Times New Roman"/>
          <w:szCs w:val="28"/>
        </w:rPr>
        <w:t>……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（公式全文按出现的先后顺序编排序号：（1），（2），</w:t>
      </w:r>
      <w:r>
        <w:rPr>
          <w:rFonts w:hint="default" w:ascii="Times New Roman" w:hAnsi="Times New Roman" w:eastAsia="仿宋_GB2312" w:cs="Times New Roman"/>
          <w:color w:val="FF0000"/>
          <w:sz w:val="28"/>
          <w:szCs w:val="28"/>
        </w:rPr>
        <w:t>……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.公式根据上下文使用相应的标点符号，如“，”或“.”）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  传导燃烧的简化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对于完全传导燃烧，</w:t>
      </w:r>
      <w:r>
        <w:rPr>
          <w:rFonts w:hint="default" w:ascii="Times New Roman" w:hAnsi="Times New Roman" w:eastAsia="仿宋_GB2312" w:cs="Times New Roman"/>
          <w:szCs w:val="28"/>
        </w:rPr>
        <w:t>……</w:t>
      </w:r>
      <w:r>
        <w:rPr>
          <w:rFonts w:hint="default" w:ascii="Times New Roman" w:hAnsi="Times New Roman" w:cs="Times New Roman"/>
          <w:sz w:val="18"/>
          <w:szCs w:val="18"/>
        </w:rPr>
        <w:t>.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object>
          <v:shape id="_x0000_i1026" o:spt="75" type="#_x0000_t75" style="height:29.85pt;width:71.85pt;" o:ole="t" filled="f" o:preferrelative="t" stroked="f" coordsize="21600,21600">
            <v:path/>
            <v:fill on="f" focussize="0,0"/>
            <v:stroke on="f"/>
            <v:imagedata r:id="rId7" o:title=""/>
            <o:lock v:ext="edit" grouping="f" rotation="f" text="f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 xml:space="preserve"> ，                      </w:t>
      </w:r>
      <w:r>
        <w:rPr>
          <w:rFonts w:hint="default" w:ascii="Times New Roman" w:hAnsi="Times New Roman" w:cs="Times New Roman"/>
          <w:lang w:val="en-GB"/>
        </w:rPr>
        <w:t>(</w:t>
      </w:r>
      <w:r>
        <w:rPr>
          <w:rFonts w:hint="default" w:ascii="Times New Roman" w:hAnsi="Times New Roman" w:cs="Times New Roman"/>
        </w:rPr>
        <w:t>3</w:t>
      </w:r>
      <w:r>
        <w:rPr>
          <w:rFonts w:hint="default" w:ascii="Times New Roman" w:hAnsi="Times New Roman" w:cs="Times New Roman"/>
          <w:lang w:val="en-GB"/>
        </w:rPr>
        <w:t>)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  数值方法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颗粒炸药</w:t>
      </w:r>
      <w:r>
        <w:rPr>
          <w:rFonts w:hint="default" w:ascii="Times New Roman" w:hAnsi="Times New Roman" w:eastAsia="仿宋_GB2312" w:cs="Times New Roman"/>
          <w:szCs w:val="28"/>
        </w:rPr>
        <w:t>……</w:t>
      </w:r>
      <w:r>
        <w:rPr>
          <w:rFonts w:hint="default" w:ascii="Times New Roman" w:hAnsi="Times New Roman" w:cs="Times New Roman"/>
          <w:sz w:val="18"/>
          <w:szCs w:val="18"/>
        </w:rPr>
        <w:t>.</w:t>
      </w:r>
    </w:p>
    <w:p>
      <w:pPr>
        <w:snapToGrid w:val="0"/>
        <w:spacing w:line="270" w:lineRule="atLeast"/>
        <w:jc w:val="center"/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</w:rPr>
        <w:object>
          <v:shape id="_x0000_i1027" o:spt="75" type="#_x0000_t75" style="height:144.05pt;width:195.95pt;" o:ole="t" filled="f" o:preferrelative="t" stroked="f" coordsize="21600,21600">
            <v:path/>
            <v:fill on="f" focussize="0,0"/>
            <v:stroke on="f"/>
            <v:imagedata r:id="rId9" cropleft="5711f" croptop="6940f" cropright="8758f" cropbottom="5097f" o:title=""/>
            <o:lock v:ext="edit" grouping="f" rotation="f" text="f" aspectratio="t"/>
            <w10:wrap type="none"/>
            <w10:anchorlock/>
          </v:shape>
          <o:OLEObject Type="Embed" ProgID="Origin50.Graph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object>
          <v:shape id="_x0000_i1028" o:spt="75" type="#_x0000_t75" style="height:148.85pt;width:194.4pt;" o:ole="t" filled="f" o:preferrelative="t" stroked="f" coordsize="21600,21600">
            <v:path/>
            <v:fill on="f" focussize="0,0"/>
            <v:stroke on="f"/>
            <v:imagedata r:id="rId11" cropleft="6778f" croptop="5747f" cropright="8224f" cropbottom="4771f" o:title=""/>
            <o:lock v:ext="edit" grouping="f" rotation="f" text="f" aspectratio="t"/>
            <w10:wrap type="none"/>
            <w10:anchorlock/>
          </v:shape>
          <o:OLEObject Type="Embed" ProgID="Origin50.Graph" ShapeID="_x0000_i1028" DrawAspect="Content" ObjectID="_1468075728" r:id="rId10">
            <o:LockedField>false</o:LockedField>
          </o:OLEObject>
        </w:object>
      </w:r>
    </w:p>
    <w:p>
      <w:pPr>
        <w:snapToGrid w:val="0"/>
        <w:spacing w:line="270" w:lineRule="atLeast"/>
        <w:rPr>
          <w:rFonts w:hint="default" w:ascii="Times New Roman" w:hAnsi="Times New Roman" w:eastAsia="华文楷体" w:cs="Times New Roman"/>
          <w:sz w:val="18"/>
        </w:rPr>
      </w:pPr>
      <w:r>
        <w:rPr>
          <w:rFonts w:hint="default" w:ascii="Times New Roman" w:hAnsi="Times New Roman" w:eastAsia="华文楷体" w:cs="Times New Roman"/>
          <w:sz w:val="18"/>
        </w:rPr>
        <w:t xml:space="preserve">             (a)各频率下与解析解的对比图                        (b)误差分析</w:t>
      </w:r>
    </w:p>
    <w:p>
      <w:pPr>
        <w:snapToGrid w:val="0"/>
        <w:spacing w:line="270" w:lineRule="atLeast"/>
        <w:jc w:val="center"/>
        <w:rPr>
          <w:rFonts w:hint="default" w:ascii="Times New Roman" w:hAnsi="Times New Roman" w:eastAsia="华文楷体" w:cs="Times New Roman"/>
          <w:sz w:val="18"/>
        </w:rPr>
      </w:pPr>
    </w:p>
    <w:p>
      <w:pPr>
        <w:jc w:val="center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sz w:val="18"/>
        </w:rPr>
        <w:t>图 1 观测线处电场振幅的示意图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（小5宋体）</w:t>
      </w:r>
    </w:p>
    <w:p>
      <w:pPr>
        <w:rPr>
          <w:rFonts w:hint="default" w:ascii="Times New Roman" w:hAnsi="Times New Roman" w:eastAsia="华文楷体" w:cs="Times New Roman"/>
          <w:sz w:val="18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          </w:t>
      </w:r>
      <w:r>
        <w:rPr>
          <w:rFonts w:hint="default" w:ascii="Times New Roman" w:hAnsi="Times New Roman" w:eastAsia="华文楷体" w:cs="Times New Roman"/>
          <w:sz w:val="18"/>
        </w:rPr>
        <w:t>Fig.1  Distribution of electric fields at the monitor line</w:t>
      </w:r>
    </w:p>
    <w:p>
      <w:pPr>
        <w:pStyle w:val="4"/>
        <w:snapToGrid w:val="0"/>
        <w:spacing w:line="270" w:lineRule="atLeast"/>
        <w:rPr>
          <w:rFonts w:hint="default" w:ascii="Times New Roman" w:hAnsi="Times New Roman" w:cs="Times New Roman"/>
          <w:smallCaps w:val="0"/>
          <w:color w:val="FF0000"/>
          <w:sz w:val="21"/>
          <w:szCs w:val="21"/>
          <w:lang w:eastAsia="zh-CN"/>
        </w:rPr>
      </w:pPr>
    </w:p>
    <w:p>
      <w:pPr>
        <w:snapToGrid w:val="0"/>
        <w:spacing w:line="270" w:lineRule="atLeast"/>
        <w:ind w:firstLine="315" w:firstLineChars="150"/>
        <w:jc w:val="center"/>
        <w:rPr>
          <w:rFonts w:hint="default" w:ascii="Times New Roman" w:hAnsi="Times New Roman" w:cs="Times New Roman"/>
          <w:color w:val="FF0000"/>
          <w:szCs w:val="21"/>
        </w:rPr>
      </w:pPr>
      <w:r>
        <w:rPr>
          <w:rFonts w:hint="default" w:ascii="Times New Roman" w:hAnsi="Times New Roman" w:cs="Times New Roman"/>
        </w:rPr>
        <w:object>
          <v:shape id="_x0000_i1029" o:spt="75" type="#_x0000_t75" style="height:125.25pt;width:189.35pt;" o:ole="t" filled="f" o:preferrelative="t" stroked="f" coordsize="21600,21600">
            <v:path/>
            <v:fill on="f" focussize="0,0"/>
            <v:stroke on="f"/>
            <v:imagedata r:id="rId13" cropleft="8224f" croptop="6832f" cropright="6473f" cropbottom="10736f" grayscale="t" o:title=""/>
            <o:lock v:ext="edit" grouping="f" rotation="f" text="f" aspectratio="t"/>
            <w10:wrap type="none"/>
            <w10:anchorlock/>
          </v:shape>
          <o:OLEObject Type="Embed" ProgID="Origin50.Graph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object>
          <v:shape id="_x0000_i1030" o:spt="75" type="#_x0000_t75" style="height:125.25pt;width:185.95pt;" o:ole="t" filled="f" o:preferrelative="t" stroked="f" coordsize="21600,21600">
            <v:path/>
            <v:fill on="f" focussize="0,0"/>
            <v:stroke on="f"/>
            <v:imagedata r:id="rId15" cropleft="8072f" croptop="6832f" cropright="7539f" cropbottom="10736f" grayscale="t" o:title=""/>
            <o:lock v:ext="edit" grouping="f" rotation="f" text="f" aspectratio="t"/>
            <w10:wrap type="none"/>
            <w10:anchorlock/>
          </v:shape>
          <o:OLEObject Type="Embed" ProgID="Origin50.Graph" ShapeID="_x0000_i1030" DrawAspect="Content" ObjectID="_1468075730" r:id="rId14">
            <o:LockedField>false</o:LockedField>
          </o:OLEObject>
        </w:object>
      </w:r>
    </w:p>
    <w:p>
      <w:pPr>
        <w:snapToGrid w:val="0"/>
        <w:jc w:val="center"/>
        <w:rPr>
          <w:rFonts w:hint="default" w:ascii="Times New Roman" w:hAnsi="Times New Roman" w:eastAsia="华文楷体" w:cs="Times New Roman"/>
          <w:sz w:val="18"/>
        </w:rPr>
      </w:pPr>
      <w:r>
        <w:rPr>
          <w:rFonts w:hint="default" w:ascii="Times New Roman" w:hAnsi="Times New Roman" w:eastAsia="华文楷体" w:cs="Times New Roman"/>
          <w:sz w:val="18"/>
        </w:rPr>
        <w:t>(a)第一次计算的幅值图                      (b)第二次计算的幅值图</w:t>
      </w:r>
    </w:p>
    <w:p>
      <w:pPr>
        <w:snapToGrid w:val="0"/>
        <w:spacing w:line="270" w:lineRule="atLeast"/>
        <w:jc w:val="center"/>
        <w:rPr>
          <w:rFonts w:hint="default" w:ascii="Times New Roman" w:hAnsi="Times New Roman" w:eastAsia="华文楷体" w:cs="Times New Roman"/>
          <w:sz w:val="18"/>
        </w:rPr>
      </w:pPr>
    </w:p>
    <w:p>
      <w:pPr>
        <w:snapToGrid w:val="0"/>
        <w:jc w:val="center"/>
        <w:rPr>
          <w:rFonts w:hint="default" w:ascii="Times New Roman" w:hAnsi="Times New Roman" w:eastAsia="华文楷体" w:cs="Times New Roman"/>
          <w:sz w:val="18"/>
        </w:rPr>
      </w:pPr>
      <w:r>
        <w:rPr>
          <w:rFonts w:hint="default" w:ascii="Times New Roman" w:hAnsi="Times New Roman" w:eastAsia="华文楷体" w:cs="Times New Roman"/>
          <w:sz w:val="18"/>
        </w:rPr>
        <w:t xml:space="preserve">  图2  </w:t>
      </w:r>
      <w:r>
        <w:rPr>
          <w:rFonts w:hint="default" w:ascii="Times New Roman" w:hAnsi="Times New Roman" w:eastAsia="华文楷体" w:cs="Times New Roman"/>
          <w:i/>
          <w:sz w:val="18"/>
        </w:rPr>
        <w:t>f</w:t>
      </w:r>
      <w:r>
        <w:rPr>
          <w:rFonts w:hint="default" w:ascii="Times New Roman" w:hAnsi="Times New Roman" w:eastAsia="华文楷体" w:cs="Times New Roman"/>
          <w:sz w:val="18"/>
        </w:rPr>
        <w:t xml:space="preserve">=50Hz 幅值图。 </w:t>
      </w:r>
    </w:p>
    <w:p>
      <w:pPr>
        <w:jc w:val="center"/>
        <w:rPr>
          <w:rFonts w:hint="default" w:ascii="Times New Roman" w:hAnsi="Times New Roman" w:cs="Times New Roman"/>
          <w:vertAlign w:val="superscript"/>
        </w:rPr>
      </w:pPr>
      <w:r>
        <w:rPr>
          <w:rFonts w:hint="default" w:ascii="Times New Roman" w:hAnsi="Times New Roman" w:eastAsia="华文楷体" w:cs="Times New Roman"/>
          <w:sz w:val="18"/>
        </w:rPr>
        <w:t xml:space="preserve">Fig.2  Snapshot of amplitude in </w:t>
      </w:r>
      <w:r>
        <w:rPr>
          <w:rFonts w:hint="default" w:ascii="Times New Roman" w:hAnsi="Times New Roman" w:eastAsia="华文楷体" w:cs="Times New Roman"/>
          <w:i/>
          <w:sz w:val="18"/>
        </w:rPr>
        <w:t>f</w:t>
      </w:r>
      <w:r>
        <w:rPr>
          <w:rFonts w:hint="default" w:ascii="Times New Roman" w:hAnsi="Times New Roman" w:eastAsia="华文楷体" w:cs="Times New Roman"/>
          <w:sz w:val="18"/>
        </w:rPr>
        <w:t>=50Hz</w:t>
      </w:r>
    </w:p>
    <w:p>
      <w:pPr>
        <w:spacing w:line="360" w:lineRule="auto"/>
        <w:rPr>
          <w:rFonts w:hint="default" w:ascii="Times New Roman" w:hAnsi="Times New Roman" w:cs="Times New Roman"/>
          <w:color w:val="FF0000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</w:rPr>
        <w:t>（图全文按出现的先后顺序编排序号；图用灰度图）</w:t>
      </w:r>
    </w:p>
    <w:p>
      <w:pPr>
        <w:jc w:val="center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</w:rPr>
        <w:t>表1 本文结果与文献结果对比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>（小5宋体）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Table 1 Comparison between present simulation and references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746"/>
        <w:gridCol w:w="567"/>
        <w:gridCol w:w="1796"/>
        <w:gridCol w:w="473"/>
        <w:gridCol w:w="1258"/>
        <w:gridCol w:w="160"/>
        <w:gridCol w:w="140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着火时间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/μs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爆轰成长时间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/μs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爆轰成长距离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/m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爆轰波速度/(m·s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-1</w:t>
            </w:r>
            <w:r>
              <w:rPr>
                <w:rFonts w:hint="default" w:ascii="Times New Roman" w:hAnsi="Times New Roman" w:cs="Times New Roman"/>
                <w:szCs w:val="21"/>
              </w:rPr>
              <w:t>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tabs>
                <w:tab w:val="right" w:pos="1774"/>
              </w:tabs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Gonthier[21]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ab/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30</w:t>
            </w:r>
          </w:p>
        </w:tc>
        <w:tc>
          <w:tcPr>
            <w:tcW w:w="567" w:type="dxa"/>
            <w:tcBorders>
              <w:bottom w:val="nil"/>
            </w:tcBorders>
            <w:noWrap w:val="0"/>
            <w:vAlign w:val="top"/>
          </w:tcPr>
          <w:p>
            <w:pPr>
              <w:tabs>
                <w:tab w:val="right" w:pos="1774"/>
              </w:tabs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</w:p>
        </w:tc>
        <w:tc>
          <w:tcPr>
            <w:tcW w:w="2269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tabs>
                <w:tab w:val="right" w:pos="1774"/>
              </w:tabs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tabs>
                <w:tab w:val="right" w:pos="1774"/>
              </w:tabs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</w:p>
        </w:tc>
        <w:tc>
          <w:tcPr>
            <w:tcW w:w="1400" w:type="dxa"/>
            <w:tcBorders>
              <w:bottom w:val="nil"/>
            </w:tcBorders>
            <w:noWrap w:val="0"/>
            <w:vAlign w:val="top"/>
          </w:tcPr>
          <w:p>
            <w:pPr>
              <w:tabs>
                <w:tab w:val="right" w:pos="1774"/>
              </w:tabs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7 500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tabs>
                <w:tab w:val="right" w:pos="1774"/>
              </w:tabs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Narin[22]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ab/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26</w:t>
            </w:r>
          </w:p>
        </w:tc>
        <w:tc>
          <w:tcPr>
            <w:tcW w:w="56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tabs>
                <w:tab w:val="right" w:pos="1774"/>
              </w:tabs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tabs>
                <w:tab w:val="right" w:pos="1774"/>
              </w:tabs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 xml:space="preserve">       55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tabs>
                <w:tab w:val="right" w:pos="1774"/>
              </w:tabs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0.18</w:t>
            </w:r>
          </w:p>
        </w:tc>
        <w:tc>
          <w:tcPr>
            <w:tcW w:w="140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7 480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tabs>
                <w:tab w:val="right" w:pos="1774"/>
              </w:tabs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本文                     27</w:t>
            </w:r>
          </w:p>
        </w:tc>
        <w:tc>
          <w:tcPr>
            <w:tcW w:w="567" w:type="dxa"/>
            <w:tcBorders>
              <w:top w:val="nil"/>
            </w:tcBorders>
            <w:noWrap w:val="0"/>
            <w:vAlign w:val="top"/>
          </w:tcPr>
          <w:p>
            <w:pPr>
              <w:tabs>
                <w:tab w:val="right" w:pos="1774"/>
              </w:tabs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</w:p>
        </w:tc>
        <w:tc>
          <w:tcPr>
            <w:tcW w:w="2269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tabs>
                <w:tab w:val="right" w:pos="1774"/>
              </w:tabs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 xml:space="preserve">       54</w:t>
            </w:r>
          </w:p>
        </w:tc>
        <w:tc>
          <w:tcPr>
            <w:tcW w:w="1418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tabs>
                <w:tab w:val="right" w:pos="1774"/>
              </w:tabs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0.18</w:t>
            </w:r>
          </w:p>
        </w:tc>
        <w:tc>
          <w:tcPr>
            <w:tcW w:w="1400" w:type="dxa"/>
            <w:tcBorders>
              <w:top w:val="nil"/>
            </w:tcBorders>
            <w:noWrap w:val="0"/>
            <w:vAlign w:val="top"/>
          </w:tcPr>
          <w:p>
            <w:pPr>
              <w:tabs>
                <w:tab w:val="right" w:pos="1774"/>
              </w:tabs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7 500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FF0000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</w:rPr>
        <w:t>（表全文按出现的先后顺序编排序号；表用三线表的格式，如上表）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  结论</w:t>
      </w:r>
    </w:p>
    <w:p>
      <w:pPr>
        <w:spacing w:line="360" w:lineRule="auto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zCs w:val="28"/>
        </w:rPr>
        <w:t>……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color w:val="FF0000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参考文献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（5号加粗宋体；居中）</w:t>
      </w:r>
    </w:p>
    <w:p>
      <w:pPr>
        <w:rPr>
          <w:rFonts w:hint="default" w:ascii="Times New Roman" w:hAnsi="Times New Roman" w:cs="Times New Roman"/>
          <w:color w:val="3366FF"/>
          <w:sz w:val="15"/>
          <w:szCs w:val="15"/>
        </w:rPr>
      </w:pPr>
      <w:r>
        <w:rPr>
          <w:rFonts w:hint="default" w:ascii="Times New Roman" w:hAnsi="Times New Roman" w:cs="Times New Roman"/>
          <w:color w:val="3366FF"/>
          <w:sz w:val="15"/>
          <w:szCs w:val="15"/>
        </w:rPr>
        <w:t>1　普通图书</w:t>
      </w:r>
    </w:p>
    <w:p>
      <w:pPr>
        <w:rPr>
          <w:rFonts w:hint="default" w:ascii="Times New Roman" w:hAnsi="Times New Roman" w:cs="Times New Roman"/>
          <w:color w:val="3366FF"/>
          <w:sz w:val="15"/>
          <w:szCs w:val="15"/>
        </w:rPr>
      </w:pPr>
      <w:r>
        <w:rPr>
          <w:rFonts w:hint="default" w:ascii="Times New Roman" w:hAnsi="Times New Roman" w:cs="Times New Roman"/>
          <w:color w:val="3366FF"/>
          <w:sz w:val="15"/>
          <w:szCs w:val="15"/>
        </w:rPr>
        <w:t>著录格式：[序号]主要责任者. 题名：其他题名信息[M]．其他责任者. 版本项. 出版地：出版者，出版年：引文页码[引用日期]. 获取和访问路径（电子资源必备）. 数字对象唯一标识符（电子资源必备）.</w:t>
      </w:r>
    </w:p>
    <w:p>
      <w:pPr>
        <w:snapToGrid w:val="0"/>
        <w:spacing w:line="270" w:lineRule="exact"/>
        <w:ind w:left="180" w:hanging="180"/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sz w:val="15"/>
          <w:szCs w:val="15"/>
        </w:rPr>
        <w:t>示例：[1] 罗杰斯. 西方文明史：问题与源头[M]. 潘惠霞，魏婧，杨艳，等，译. 大连：东北财经大学出版社，2011：15-16.</w:t>
      </w:r>
    </w:p>
    <w:p>
      <w:pPr>
        <w:snapToGrid w:val="0"/>
        <w:spacing w:line="270" w:lineRule="exact"/>
        <w:ind w:left="180" w:hanging="180"/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sz w:val="15"/>
          <w:szCs w:val="15"/>
        </w:rPr>
        <w:t xml:space="preserve">      [2] HARRINGTON R F. Time-harmonic electromagnetic fields[M]. New York: IEEE Press, 2001: 228-230.</w:t>
      </w:r>
    </w:p>
    <w:p>
      <w:pPr>
        <w:snapToGrid w:val="0"/>
        <w:spacing w:line="270" w:lineRule="exact"/>
        <w:ind w:left="180" w:hanging="180"/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sz w:val="15"/>
          <w:szCs w:val="15"/>
        </w:rPr>
        <w:t xml:space="preserve">      [3] 侯文顺. 高分子物理：高分子材料分析、选择与改性[M/OL].北京：化学工业出版社，2010：  </w:t>
      </w:r>
    </w:p>
    <w:p>
      <w:pPr>
        <w:snapToGrid w:val="0"/>
        <w:spacing w:line="270" w:lineRule="exact"/>
        <w:ind w:left="180" w:hanging="180"/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sz w:val="15"/>
          <w:szCs w:val="15"/>
        </w:rPr>
        <w:t xml:space="preserve">          119[2012-11-27].http://apabi.lib.pku.edu.cn/usp/pku/pub.mvc?Pid=book.detail&amp;metaid =m.2011 1114-                         </w:t>
      </w:r>
    </w:p>
    <w:p>
      <w:pPr>
        <w:snapToGrid w:val="0"/>
        <w:spacing w:line="270" w:lineRule="exact"/>
        <w:ind w:left="180" w:hanging="180"/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sz w:val="15"/>
          <w:szCs w:val="15"/>
        </w:rPr>
        <w:t xml:space="preserve">          HGS-889-0228.</w:t>
      </w:r>
      <w:r>
        <w:rPr>
          <w:rFonts w:hint="default" w:ascii="Times New Roman" w:hAnsi="Times New Roman" w:cs="Times New Roman"/>
          <w:color w:val="FF0000"/>
          <w:sz w:val="15"/>
          <w:szCs w:val="15"/>
        </w:rPr>
        <w:t>（6号宋体）</w:t>
      </w:r>
    </w:p>
    <w:p>
      <w:pPr>
        <w:rPr>
          <w:rFonts w:hint="default" w:ascii="Times New Roman" w:hAnsi="Times New Roman" w:cs="Times New Roman"/>
          <w:color w:val="3366FF"/>
          <w:sz w:val="15"/>
          <w:szCs w:val="15"/>
        </w:rPr>
      </w:pPr>
      <w:r>
        <w:rPr>
          <w:rFonts w:hint="default" w:ascii="Times New Roman" w:hAnsi="Times New Roman" w:cs="Times New Roman"/>
          <w:color w:val="3366FF"/>
          <w:sz w:val="15"/>
          <w:szCs w:val="15"/>
        </w:rPr>
        <w:t>2　期刊文献</w:t>
      </w:r>
    </w:p>
    <w:p>
      <w:pPr>
        <w:rPr>
          <w:rFonts w:hint="default" w:ascii="Times New Roman" w:hAnsi="Times New Roman" w:cs="Times New Roman"/>
          <w:color w:val="3366FF"/>
          <w:sz w:val="15"/>
          <w:szCs w:val="15"/>
        </w:rPr>
      </w:pPr>
      <w:r>
        <w:rPr>
          <w:rFonts w:hint="default" w:ascii="Times New Roman" w:hAnsi="Times New Roman" w:cs="Times New Roman"/>
          <w:color w:val="3366FF"/>
          <w:sz w:val="15"/>
          <w:szCs w:val="15"/>
        </w:rPr>
        <w:t>著录格式：[序号]主要责任者. 题名：其他题名信息[J]. 期刊名，年，卷（期）：页码[引用日期]. 获取和访问路径（电子资源必备）. 数字对象唯一标识符（电子资源必备）.</w:t>
      </w:r>
    </w:p>
    <w:p>
      <w:pPr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sz w:val="15"/>
          <w:szCs w:val="15"/>
        </w:rPr>
        <w:t xml:space="preserve">示例：[1] 袁训来，陈哲，肖书海，等. 蓝田生物群：一个认识多细胞生物起源和早期演化的新窗口[J]. 科学通报，2012，55   </w:t>
      </w:r>
    </w:p>
    <w:p>
      <w:pPr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sz w:val="15"/>
          <w:szCs w:val="15"/>
        </w:rPr>
        <w:t xml:space="preserve">         （34）：3219.</w:t>
      </w:r>
    </w:p>
    <w:p>
      <w:pPr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sz w:val="15"/>
          <w:szCs w:val="15"/>
        </w:rPr>
        <w:t xml:space="preserve">      [2] QIN G C, HOU X, CHEN L Q, et al. Numerical simulation of deflagration-to-detonation transition in    </w:t>
      </w:r>
    </w:p>
    <w:p>
      <w:pPr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sz w:val="15"/>
          <w:szCs w:val="15"/>
        </w:rPr>
        <w:t xml:space="preserve">          high energy propellant[J]. Journal of Solid Rocket Technology，2006, </w:t>
      </w:r>
      <w:r>
        <w:rPr>
          <w:rFonts w:hint="default" w:ascii="Times New Roman" w:hAnsi="Times New Roman" w:cs="Times New Roman"/>
          <w:bCs/>
          <w:sz w:val="15"/>
          <w:szCs w:val="15"/>
        </w:rPr>
        <w:t>29</w:t>
      </w:r>
      <w:r>
        <w:rPr>
          <w:rFonts w:hint="default" w:ascii="Times New Roman" w:hAnsi="Times New Roman" w:cs="Times New Roman"/>
          <w:sz w:val="15"/>
          <w:szCs w:val="15"/>
        </w:rPr>
        <w:t>(3): 186-189.</w:t>
      </w:r>
    </w:p>
    <w:p>
      <w:pPr>
        <w:rPr>
          <w:rFonts w:hint="default" w:ascii="Times New Roman" w:hAnsi="Times New Roman" w:cs="Times New Roman"/>
          <w:color w:val="3366FF"/>
          <w:sz w:val="15"/>
          <w:szCs w:val="15"/>
        </w:rPr>
      </w:pPr>
      <w:r>
        <w:rPr>
          <w:rFonts w:hint="default" w:ascii="Times New Roman" w:hAnsi="Times New Roman" w:cs="Times New Roman"/>
          <w:color w:val="3366FF"/>
          <w:sz w:val="15"/>
          <w:szCs w:val="15"/>
        </w:rPr>
        <w:t>3　论文集、会议录</w:t>
      </w:r>
    </w:p>
    <w:p>
      <w:pPr>
        <w:rPr>
          <w:rFonts w:hint="default" w:ascii="Times New Roman" w:hAnsi="Times New Roman" w:cs="Times New Roman"/>
          <w:color w:val="3366FF"/>
          <w:sz w:val="15"/>
          <w:szCs w:val="15"/>
        </w:rPr>
      </w:pPr>
      <w:r>
        <w:rPr>
          <w:rFonts w:hint="default" w:ascii="Times New Roman" w:hAnsi="Times New Roman" w:cs="Times New Roman"/>
          <w:color w:val="3366FF"/>
          <w:sz w:val="15"/>
          <w:szCs w:val="15"/>
        </w:rPr>
        <w:t>著录格式：[序号]主要责任者. 题名：其他题名信息[C]. 出版地：出版者，出版年[引用日期]. 获取和访问路径（电子资源必备）. 数字对象唯一标识符（电子资源必备）.</w:t>
      </w:r>
    </w:p>
    <w:p>
      <w:pPr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sz w:val="15"/>
          <w:szCs w:val="15"/>
        </w:rPr>
        <w:t>示例：[1] 雷光春. 综合湿地管理：综合湿地管理国际研讨会论文集[C]. 北京：海洋出版社，2012.</w:t>
      </w:r>
    </w:p>
    <w:p>
      <w:pPr>
        <w:rPr>
          <w:rFonts w:hint="default" w:ascii="Times New Roman" w:hAnsi="Times New Roman" w:cs="Times New Roman"/>
          <w:color w:val="3366FF"/>
          <w:sz w:val="15"/>
          <w:szCs w:val="15"/>
        </w:rPr>
      </w:pPr>
      <w:r>
        <w:rPr>
          <w:rFonts w:hint="default" w:ascii="Times New Roman" w:hAnsi="Times New Roman" w:cs="Times New Roman"/>
          <w:color w:val="3366FF"/>
          <w:sz w:val="15"/>
          <w:szCs w:val="15"/>
        </w:rPr>
        <w:t>4　报告</w:t>
      </w:r>
    </w:p>
    <w:p>
      <w:pPr>
        <w:rPr>
          <w:rFonts w:hint="default" w:ascii="Times New Roman" w:hAnsi="Times New Roman" w:cs="Times New Roman"/>
          <w:color w:val="3366FF"/>
          <w:sz w:val="15"/>
          <w:szCs w:val="15"/>
        </w:rPr>
      </w:pPr>
      <w:r>
        <w:rPr>
          <w:rFonts w:hint="default" w:ascii="Times New Roman" w:hAnsi="Times New Roman" w:cs="Times New Roman"/>
          <w:color w:val="3366FF"/>
          <w:sz w:val="15"/>
          <w:szCs w:val="15"/>
        </w:rPr>
        <w:t>著录格式：[序号]主要责任者. 题名： 其他题名信息[R]. 出版地：出版者，出版年[引用日期]. 获取和访问路径（电子资源必备）. 数字对象唯一标识符（电子资源必备）.</w:t>
      </w:r>
    </w:p>
    <w:p>
      <w:pPr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sz w:val="15"/>
          <w:szCs w:val="15"/>
        </w:rPr>
        <w:t>示例：[1]World Health Organization. Factors regulating theimmune response：Report of WHO Scientifi c Group[R]. Geneva：WHO，1970.</w:t>
      </w:r>
    </w:p>
    <w:p>
      <w:pPr>
        <w:rPr>
          <w:rFonts w:hint="default" w:ascii="Times New Roman" w:hAnsi="Times New Roman" w:cs="Times New Roman"/>
          <w:color w:val="3366FF"/>
          <w:sz w:val="15"/>
          <w:szCs w:val="15"/>
        </w:rPr>
      </w:pPr>
      <w:r>
        <w:rPr>
          <w:rFonts w:hint="default" w:ascii="Times New Roman" w:hAnsi="Times New Roman" w:cs="Times New Roman"/>
          <w:color w:val="3366FF"/>
          <w:sz w:val="15"/>
          <w:szCs w:val="15"/>
        </w:rPr>
        <w:t>5　学位论文</w:t>
      </w:r>
    </w:p>
    <w:p>
      <w:pPr>
        <w:rPr>
          <w:rFonts w:hint="default" w:ascii="Times New Roman" w:hAnsi="Times New Roman" w:cs="Times New Roman"/>
          <w:color w:val="3366FF"/>
          <w:sz w:val="15"/>
          <w:szCs w:val="15"/>
        </w:rPr>
      </w:pPr>
      <w:r>
        <w:rPr>
          <w:rFonts w:hint="default" w:ascii="Times New Roman" w:hAnsi="Times New Roman" w:cs="Times New Roman"/>
          <w:color w:val="3366FF"/>
          <w:sz w:val="15"/>
          <w:szCs w:val="15"/>
        </w:rPr>
        <w:t>著录格式：[序号]主要责任者．题名[D]. 大学所在城市：大学名称，出版年[引用日期]．获取和访问路径（电子资源必备）. 数字对象唯一标识符（电子资源必备）．</w:t>
      </w:r>
    </w:p>
    <w:p>
      <w:pPr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sz w:val="15"/>
          <w:szCs w:val="15"/>
        </w:rPr>
        <w:t>示例：[1] 马欢. 人类活动影响下海河流域典型区水循环变化分析[D]. 北京：北京大学，2011.</w:t>
      </w:r>
    </w:p>
    <w:p>
      <w:pPr>
        <w:rPr>
          <w:rFonts w:hint="default" w:ascii="Times New Roman" w:hAnsi="Times New Roman" w:cs="Times New Roman"/>
          <w:color w:val="3366FF"/>
          <w:sz w:val="15"/>
          <w:szCs w:val="15"/>
        </w:rPr>
      </w:pPr>
      <w:r>
        <w:rPr>
          <w:rFonts w:hint="default" w:ascii="Times New Roman" w:hAnsi="Times New Roman" w:cs="Times New Roman"/>
          <w:color w:val="3366FF"/>
          <w:sz w:val="15"/>
          <w:szCs w:val="15"/>
        </w:rPr>
        <w:t>6　专利文献</w:t>
      </w:r>
    </w:p>
    <w:p>
      <w:pPr>
        <w:rPr>
          <w:rFonts w:hint="default" w:ascii="Times New Roman" w:hAnsi="Times New Roman" w:cs="Times New Roman"/>
          <w:color w:val="3366FF"/>
          <w:sz w:val="15"/>
          <w:szCs w:val="15"/>
        </w:rPr>
      </w:pPr>
      <w:r>
        <w:rPr>
          <w:rFonts w:hint="default" w:ascii="Times New Roman" w:hAnsi="Times New Roman" w:cs="Times New Roman"/>
          <w:color w:val="3366FF"/>
          <w:sz w:val="15"/>
          <w:szCs w:val="15"/>
        </w:rPr>
        <w:t>著录格式：[序号]专利申请者或所有者. 专利题名：专利号[P]. 公告日期或公开日期[引用日期]. 获取和访问路径（电子资源必备）. 数字对象唯一标识符（电子资源必备）．</w:t>
      </w:r>
    </w:p>
    <w:p>
      <w:pPr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sz w:val="15"/>
          <w:szCs w:val="15"/>
        </w:rPr>
        <w:t>示例：[1] 张凯军. 轨道火车及高速轨道火车紧急安全制动辅助装置：201220158825[P]. 2012-04-05.</w:t>
      </w:r>
    </w:p>
    <w:p>
      <w:pPr>
        <w:rPr>
          <w:rFonts w:hint="default" w:ascii="Times New Roman" w:hAnsi="Times New Roman" w:cs="Times New Roman"/>
          <w:color w:val="3366FF"/>
          <w:sz w:val="15"/>
          <w:szCs w:val="15"/>
        </w:rPr>
      </w:pPr>
      <w:r>
        <w:rPr>
          <w:rFonts w:hint="default" w:ascii="Times New Roman" w:hAnsi="Times New Roman" w:cs="Times New Roman"/>
          <w:color w:val="3366FF"/>
          <w:sz w:val="15"/>
          <w:szCs w:val="15"/>
        </w:rPr>
        <w:t>7　标准文献</w:t>
      </w:r>
    </w:p>
    <w:p>
      <w:pPr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color w:val="3366FF"/>
          <w:sz w:val="15"/>
          <w:szCs w:val="15"/>
        </w:rPr>
        <w:t>著录格式：[序号]主要责任者. 标准名称：标准号[S]. 出版地：出版者，出版年：引文页码[引用日期]. 获取和访问路径（电子资源必备）. 数字对象唯一标识符（电子资源必备）．</w:t>
      </w:r>
    </w:p>
    <w:p>
      <w:pPr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sz w:val="15"/>
          <w:szCs w:val="15"/>
        </w:rPr>
        <w:t>示例：[1] 全国信息与文献标准化技术委员会. 文献著录：第4 部分 非书资料：GB/T 3792.4－2009[S]. 北京：中国标准出版社，2010：3.</w:t>
      </w:r>
    </w:p>
    <w:p>
      <w:pPr>
        <w:rPr>
          <w:rFonts w:hint="default" w:ascii="Times New Roman" w:hAnsi="Times New Roman" w:cs="Times New Roman"/>
          <w:color w:val="3366FF"/>
          <w:sz w:val="15"/>
          <w:szCs w:val="15"/>
        </w:rPr>
      </w:pPr>
      <w:r>
        <w:rPr>
          <w:rFonts w:hint="default" w:ascii="Times New Roman" w:hAnsi="Times New Roman" w:cs="Times New Roman"/>
          <w:color w:val="3366FF"/>
          <w:sz w:val="15"/>
          <w:szCs w:val="15"/>
        </w:rPr>
        <w:t>8　电子资源（不包括电子专著、电子连续出版物、电子学位论文、电子专利）</w:t>
      </w:r>
    </w:p>
    <w:p>
      <w:pPr>
        <w:rPr>
          <w:rFonts w:hint="default" w:ascii="Times New Roman" w:hAnsi="Times New Roman" w:cs="Times New Roman"/>
          <w:color w:val="3366FF"/>
          <w:sz w:val="15"/>
          <w:szCs w:val="15"/>
        </w:rPr>
      </w:pPr>
      <w:r>
        <w:rPr>
          <w:rFonts w:hint="default" w:ascii="Times New Roman" w:hAnsi="Times New Roman" w:cs="Times New Roman"/>
          <w:color w:val="3366FF"/>
          <w:sz w:val="15"/>
          <w:szCs w:val="15"/>
        </w:rPr>
        <w:t>著录格式：[序号]主要责任者. 题名：其他题名信息[EB/OL]. 出版地：出版者，出版年：引文页码[引用日期]. 获取和访问路径（电子资源必备）. 数字对象唯一标识符（电子资源必备）.</w:t>
      </w:r>
    </w:p>
    <w:p>
      <w:pPr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sz w:val="15"/>
          <w:szCs w:val="15"/>
        </w:rPr>
        <w:t>示例：[1] 萧钰. 出版业信息化迈入快车道[EB/OL].（2001-12-19）[2002-04-15]. http：www.creader.com/news.20011219</w:t>
      </w:r>
    </w:p>
    <w:p>
      <w:pPr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  <w:sz w:val="15"/>
          <w:szCs w:val="15"/>
        </w:rPr>
        <w:t>/200112190019.html.</w:t>
      </w:r>
    </w:p>
    <w:p>
      <w:pPr>
        <w:adjustRightInd w:val="0"/>
        <w:snapToGrid w:val="0"/>
        <w:spacing w:line="460" w:lineRule="exac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87CCF"/>
    <w:rsid w:val="45C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itle"/>
    <w:basedOn w:val="1"/>
    <w:uiPriority w:val="0"/>
    <w:pPr>
      <w:widowControl/>
      <w:autoSpaceDE w:val="0"/>
      <w:autoSpaceDN w:val="0"/>
      <w:jc w:val="center"/>
    </w:pPr>
    <w:rPr>
      <w:smallCaps/>
      <w:kern w:val="0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emf"/><Relationship Id="rId14" Type="http://schemas.openxmlformats.org/officeDocument/2006/relationships/oleObject" Target="embeddings/oleObject6.bin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2021-05-19T10:36:00Z</dcterms:created>
  <dc:creator>华辰国旅－美文</dc:creator>
  <cp:lastModifiedBy>华辰国旅－美文</cp:lastModifiedBy>
  <dcterms:modified xsi:type="dcterms:W3CDTF">2021-05-19T10:36:17Z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F5D4A5E42EE34804805033CF11D1A4CF</vt:lpwstr>
  </property>
</Properties>
</file>