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FF20D" w14:textId="01E762D4" w:rsidR="000264B5" w:rsidRDefault="000264B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题目：免疫疗法</w:t>
      </w:r>
      <w:r w:rsidRPr="000264B5">
        <w:rPr>
          <w:rFonts w:ascii="Times New Roman" w:hAnsi="Times New Roman" w:cs="Helvetica"/>
          <w:b/>
          <w:color w:val="333333"/>
          <w:sz w:val="20"/>
          <w:szCs w:val="20"/>
        </w:rPr>
        <w:t>联合化疗治疗哺乳期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化生性</w:t>
      </w:r>
      <w:r w:rsidRPr="000264B5">
        <w:rPr>
          <w:rFonts w:ascii="Times New Roman" w:hAnsi="Times New Roman" w:cs="Helvetica"/>
          <w:b/>
          <w:color w:val="333333"/>
          <w:sz w:val="20"/>
          <w:szCs w:val="20"/>
        </w:rPr>
        <w:t>乳腺癌患者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1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例</w:t>
      </w:r>
    </w:p>
    <w:p w14:paraId="6EB9E52C" w14:textId="674DF13D" w:rsidR="008C0275" w:rsidRDefault="008C027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作者：徐楚楚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 xml:space="preserve"> 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指导教师：高秀飞教授</w:t>
      </w:r>
    </w:p>
    <w:p w14:paraId="7525293F" w14:textId="6CC3045F" w:rsidR="008C0275" w:rsidRDefault="008C027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单位：浙江省中医院乳腺科</w:t>
      </w:r>
    </w:p>
    <w:p w14:paraId="599CD316" w14:textId="514746EB" w:rsidR="008C0275" w:rsidRDefault="008C027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联系地址：浙江省杭州市上城区邮电路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5</w:t>
      </w:r>
      <w:r>
        <w:rPr>
          <w:rFonts w:ascii="Times New Roman" w:hAnsi="Times New Roman" w:cs="Helvetica"/>
          <w:b/>
          <w:color w:val="333333"/>
          <w:sz w:val="20"/>
          <w:szCs w:val="20"/>
        </w:rPr>
        <w:t>4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号</w:t>
      </w:r>
    </w:p>
    <w:p w14:paraId="6E51969F" w14:textId="7EB1655F" w:rsidR="008C0275" w:rsidRDefault="008C027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 w:hint="eastAsia"/>
          <w:b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联系方式：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1</w:t>
      </w:r>
      <w:r>
        <w:rPr>
          <w:rFonts w:ascii="Times New Roman" w:hAnsi="Times New Roman" w:cs="Helvetica"/>
          <w:b/>
          <w:color w:val="333333"/>
          <w:sz w:val="20"/>
          <w:szCs w:val="20"/>
        </w:rPr>
        <w:t>8868103252</w:t>
      </w:r>
    </w:p>
    <w:p w14:paraId="1028DC19" w14:textId="4A308CCB" w:rsidR="000264B5" w:rsidRPr="000264B5" w:rsidRDefault="000264B5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Cs/>
          <w:color w:val="333333"/>
          <w:sz w:val="20"/>
          <w:szCs w:val="20"/>
        </w:rPr>
      </w:pP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摘要：</w:t>
      </w:r>
      <w:r w:rsidRPr="000264B5">
        <w:rPr>
          <w:rFonts w:ascii="Times New Roman" w:hAnsi="Times New Roman" w:cs="Helvetica" w:hint="eastAsia"/>
          <w:b/>
          <w:color w:val="333333"/>
          <w:sz w:val="20"/>
          <w:szCs w:val="20"/>
        </w:rPr>
        <w:t>背景与目的</w:t>
      </w:r>
      <w:r>
        <w:rPr>
          <w:rFonts w:ascii="Times New Roman" w:hAnsi="Times New Roman" w:cs="Helvetica" w:hint="eastAsia"/>
          <w:b/>
          <w:color w:val="333333"/>
          <w:sz w:val="20"/>
          <w:szCs w:val="20"/>
        </w:rPr>
        <w:t>：</w:t>
      </w:r>
      <w:r w:rsidRPr="000264B5">
        <w:rPr>
          <w:rFonts w:ascii="Times New Roman" w:hAnsi="Times New Roman" w:cs="Helvetica" w:hint="eastAsia"/>
          <w:bCs/>
          <w:color w:val="333333"/>
          <w:sz w:val="20"/>
          <w:szCs w:val="20"/>
        </w:rPr>
        <w:t>化生性乳腺癌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(Metaplastic breast cancer, MBC)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是一种罕见的乳腺癌亚型，恶性程度高，预后差。抗</w:t>
      </w:r>
      <w:r>
        <w:rPr>
          <w:rFonts w:ascii="Times New Roman" w:hAnsi="Times New Roman" w:cs="Helvetica"/>
          <w:bCs/>
          <w:color w:val="333333"/>
          <w:sz w:val="20"/>
          <w:szCs w:val="20"/>
        </w:rPr>
        <w:t>PD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 xml:space="preserve"> -1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治疗是近年来兴起的一种新型免疫疗法，文献中对化生性乳腺癌有明显疗效。</w:t>
      </w:r>
      <w:r w:rsidRPr="000264B5">
        <w:rPr>
          <w:rFonts w:ascii="Times New Roman" w:hAnsi="Times New Roman" w:cs="Helvetica"/>
          <w:b/>
          <w:color w:val="333333"/>
          <w:sz w:val="20"/>
          <w:szCs w:val="20"/>
        </w:rPr>
        <w:t>病例总结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: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我们报道了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例罕见的乳腺化生性乳腺癌，手术治疗后迅速进展。先后接受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2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个周期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EC(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表柔比星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+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环磷酰胺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)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化疗和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2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个周期抗</w:t>
      </w:r>
      <w:r>
        <w:rPr>
          <w:rFonts w:ascii="Times New Roman" w:hAnsi="Times New Roman" w:cs="Helvetica"/>
          <w:bCs/>
          <w:color w:val="333333"/>
          <w:sz w:val="20"/>
          <w:szCs w:val="20"/>
        </w:rPr>
        <w:t>PD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 xml:space="preserve"> -1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免疫治疗联合白蛋白紫杉醇化疗，均失败。患者最终因肿瘤压迫呼吸衰竭死亡。</w:t>
      </w:r>
      <w:r w:rsidRPr="000264B5">
        <w:rPr>
          <w:rFonts w:ascii="Times New Roman" w:hAnsi="Times New Roman" w:cs="Helvetica"/>
          <w:b/>
          <w:color w:val="333333"/>
          <w:sz w:val="20"/>
          <w:szCs w:val="20"/>
        </w:rPr>
        <w:t>结论</w:t>
      </w:r>
      <w:r w:rsidRPr="000264B5">
        <w:rPr>
          <w:rFonts w:ascii="Times New Roman" w:hAnsi="Times New Roman" w:cs="Helvetica"/>
          <w:b/>
          <w:color w:val="333333"/>
          <w:sz w:val="20"/>
          <w:szCs w:val="20"/>
        </w:rPr>
        <w:t>: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哺乳期妇女在发现乳腺异常症状后应及时进行详细的检查，以尽早发现乳腺癌。抗</w:t>
      </w:r>
      <w:r>
        <w:rPr>
          <w:rFonts w:ascii="Times New Roman" w:hAnsi="Times New Roman" w:cs="Helvetica"/>
          <w:bCs/>
          <w:color w:val="333333"/>
          <w:sz w:val="20"/>
          <w:szCs w:val="20"/>
        </w:rPr>
        <w:t>PD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 xml:space="preserve"> -1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治疗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MBC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的疗效需要更大规模的临床研究数据。仅根据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PD-1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阳性率来决定是否选择抗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PD-1</w:t>
      </w:r>
      <w:r w:rsidRPr="000264B5">
        <w:rPr>
          <w:rFonts w:ascii="Times New Roman" w:hAnsi="Times New Roman" w:cs="Helvetica"/>
          <w:bCs/>
          <w:color w:val="333333"/>
          <w:sz w:val="20"/>
          <w:szCs w:val="20"/>
        </w:rPr>
        <w:t>免疫治疗是不够的。</w:t>
      </w:r>
    </w:p>
    <w:p w14:paraId="5980FA3E" w14:textId="6A45BB21" w:rsidR="0065134B" w:rsidRPr="005C57AE" w:rsidRDefault="00C558E6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 w:rsidRPr="005C57AE">
        <w:rPr>
          <w:rFonts w:ascii="Times New Roman" w:hAnsi="Times New Roman" w:cs="Helvetica" w:hint="eastAsia"/>
          <w:b/>
          <w:color w:val="333333"/>
          <w:sz w:val="20"/>
          <w:szCs w:val="20"/>
        </w:rPr>
        <w:t>1</w:t>
      </w:r>
      <w:r w:rsidRPr="005C57AE">
        <w:rPr>
          <w:rFonts w:ascii="Times New Roman" w:hAnsi="Times New Roman" w:cs="Helvetica"/>
          <w:b/>
          <w:color w:val="333333"/>
          <w:sz w:val="20"/>
          <w:szCs w:val="20"/>
        </w:rPr>
        <w:t>.</w:t>
      </w:r>
      <w:r w:rsidR="0065134B" w:rsidRPr="005C57AE">
        <w:rPr>
          <w:rFonts w:ascii="Times New Roman" w:hAnsi="Times New Roman" w:cs="Helvetica"/>
          <w:b/>
          <w:color w:val="333333"/>
          <w:sz w:val="20"/>
          <w:szCs w:val="20"/>
        </w:rPr>
        <w:t>介绍</w:t>
      </w:r>
    </w:p>
    <w:p w14:paraId="440CF7A0" w14:textId="1F3FA23C" w:rsidR="0065134B" w:rsidRPr="002F757D" w:rsidRDefault="0065134B" w:rsidP="00C558E6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化生性乳腺癌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(MBC)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是一种侵袭性很强</w:t>
      </w:r>
      <w:r w:rsidR="00BD27D5">
        <w:rPr>
          <w:rFonts w:ascii="Times New Roman" w:hAnsi="Times New Roman" w:cs="Helvetica" w:hint="eastAsia"/>
          <w:color w:val="333333"/>
          <w:sz w:val="20"/>
          <w:szCs w:val="20"/>
        </w:rPr>
        <w:t>并且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异质性强的罕见侵袭性癌症，占所有乳腺癌的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0.2-5%</w:t>
      </w:r>
      <w:r w:rsidR="00BD27D5" w:rsidRPr="00BD27D5">
        <w:rPr>
          <w:rFonts w:ascii="Times New Roman" w:hAnsi="Times New Roman" w:cs="Helvetica" w:hint="eastAsia"/>
          <w:color w:val="333333"/>
          <w:sz w:val="20"/>
          <w:szCs w:val="20"/>
          <w:vertAlign w:val="superscript"/>
        </w:rPr>
        <w:t xml:space="preserve"> [</w:t>
      </w:r>
      <w:r w:rsidR="00BD27D5" w:rsidRPr="00BD27D5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1]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。这种恶性肿瘤的组织学特征是至少存在两种细胞类型，典型的上皮和间叶成分</w:t>
      </w:r>
      <w:r w:rsidRPr="00BD27D5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[2]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WHO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对乳腺肿瘤的新分类将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分为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个组织学亚型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: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鳞状细胞癌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(SqCC)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、梭形细胞癌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(SpCC)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伴异源间质分化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(MBCHMD)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、低级别腺鳞癌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(LGASC)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和纤维瘤样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 (FLMBC)</w:t>
      </w:r>
      <w:r w:rsidRPr="00BD27D5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。大多数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为三阴性表型，不表达雌激素受体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(ER)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、孕酮受体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(PR)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或人表皮生长因子受体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 (HER2)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年生存率为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44% ~ 65.3%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TNBC</w:t>
      </w:r>
      <w:r w:rsidRPr="00BD27D5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[3]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年生存率为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78% ~ 90.6%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</w:p>
    <w:p w14:paraId="4084A13F" w14:textId="1B3BEF1F" w:rsidR="0065134B" w:rsidRPr="002F757D" w:rsidRDefault="0065134B" w:rsidP="00C558E6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目前，传统的治疗方法包括手术、化疗和放疗。然而，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对包括蒽环类、环磷酰胺和紫杉醇在内的常规化疗</w:t>
      </w:r>
      <w:r w:rsidR="00BD27D5">
        <w:rPr>
          <w:rFonts w:ascii="Times New Roman" w:hAnsi="Times New Roman" w:cs="Helvetica" w:hint="eastAsia"/>
          <w:color w:val="333333"/>
          <w:sz w:val="20"/>
          <w:szCs w:val="20"/>
        </w:rPr>
        <w:t>药物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反应较差，且无显著的生存获益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>。</w:t>
      </w:r>
      <w:r w:rsidRPr="00C45119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[4 5]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 xml:space="preserve"> 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因此，寻找针对潜在分子靶点的更好的系统治疗方法是当务之急。研究发现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中的表达率为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40%-70%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，明显高于非化生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TNBC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中的表达率</w:t>
      </w:r>
      <w:r w:rsidRPr="00C45119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[6-8]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。最近，一个病例报告显示，化疗难治性化生乳腺癌患者明显受益于抗</w:t>
      </w:r>
      <w:r w:rsidR="00854701">
        <w:rPr>
          <w:rFonts w:ascii="Times New Roman" w:hAnsi="Times New Roman" w:cs="Helvetica"/>
          <w:color w:val="333333"/>
          <w:sz w:val="20"/>
          <w:szCs w:val="20"/>
        </w:rPr>
        <w:t>PD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 xml:space="preserve"> 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联合紫杉醇治疗。这些结果表明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PD-1/PD-L1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免疫治疗可能是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的一种潜在治疗方法。然而，我们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使用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联合化疗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高表达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，病情进展迅速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，提示采用免疫疗法治疗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M</w:t>
      </w:r>
      <w:r w:rsidR="00C558E6" w:rsidRPr="002F757D">
        <w:rPr>
          <w:rFonts w:ascii="Times New Roman" w:hAnsi="Times New Roman" w:cs="Helvetica"/>
          <w:color w:val="333333"/>
          <w:sz w:val="20"/>
          <w:szCs w:val="20"/>
        </w:rPr>
        <w:t>BC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有许多亟待思考与研究的问题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</w:p>
    <w:p w14:paraId="711E7045" w14:textId="74AA0101" w:rsidR="0065134B" w:rsidRPr="005C57AE" w:rsidRDefault="00C558E6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 w:rsidRPr="002F757D">
        <w:rPr>
          <w:rFonts w:ascii="Times New Roman" w:hAnsi="Times New Roman" w:cs="Helvetica" w:hint="eastAsia"/>
          <w:bCs/>
          <w:color w:val="333333"/>
          <w:sz w:val="20"/>
          <w:szCs w:val="20"/>
        </w:rPr>
        <w:t>2</w:t>
      </w:r>
      <w:r w:rsidRPr="005C57AE">
        <w:rPr>
          <w:rFonts w:ascii="Times New Roman" w:hAnsi="Times New Roman" w:cs="Helvetica"/>
          <w:b/>
          <w:color w:val="333333"/>
          <w:sz w:val="20"/>
          <w:szCs w:val="20"/>
        </w:rPr>
        <w:t>.</w:t>
      </w:r>
      <w:r w:rsidR="0065134B" w:rsidRPr="005C57AE">
        <w:rPr>
          <w:rFonts w:ascii="Times New Roman" w:hAnsi="Times New Roman" w:cs="Helvetica" w:hint="eastAsia"/>
          <w:b/>
          <w:color w:val="333333"/>
          <w:sz w:val="20"/>
          <w:szCs w:val="20"/>
        </w:rPr>
        <w:t>案例分析</w:t>
      </w:r>
    </w:p>
    <w:p w14:paraId="106C607B" w14:textId="3C1D4369" w:rsidR="0065134B" w:rsidRPr="002F757D" w:rsidRDefault="0065134B" w:rsidP="00C45119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lastRenderedPageBreak/>
        <w:t>2020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9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16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，患者，女，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3</w:t>
      </w:r>
      <w:r w:rsidR="005C57AE">
        <w:rPr>
          <w:rFonts w:ascii="Times New Roman" w:hAnsi="Times New Roman" w:cs="Helvetica"/>
          <w:color w:val="333333"/>
          <w:sz w:val="20"/>
          <w:szCs w:val="20"/>
        </w:rPr>
        <w:t>8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岁，产后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9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月，因“发现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左侧内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上象限巨大肿块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6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月”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来我院就诊。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6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个月前，患者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自诉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在左乳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内上摸到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一个类似鸽子蛋的肿块，但无疼痛、皮肤变化等症状。当地医院的乳房超声检查提示为乳腺脓肿。因此，患者没有接受任何治疗。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该</w:t>
      </w:r>
      <w:r w:rsidR="005C57AE" w:rsidRPr="005C57AE">
        <w:rPr>
          <w:rFonts w:ascii="Times New Roman" w:hAnsi="Times New Roman" w:cs="Helvetica" w:hint="eastAsia"/>
          <w:color w:val="333333"/>
          <w:sz w:val="20"/>
          <w:szCs w:val="20"/>
        </w:rPr>
        <w:t>肿块在过去的一个月里</w:t>
      </w:r>
      <w:r w:rsidR="005C57AE">
        <w:rPr>
          <w:rFonts w:ascii="Times New Roman" w:hAnsi="Times New Roman" w:cs="Helvetica" w:hint="eastAsia"/>
          <w:color w:val="333333"/>
          <w:sz w:val="20"/>
          <w:szCs w:val="20"/>
        </w:rPr>
        <w:t>迅速增大</w:t>
      </w:r>
      <w:r w:rsidR="005C57AE" w:rsidRPr="005C57AE">
        <w:rPr>
          <w:rFonts w:ascii="Times New Roman" w:hAnsi="Times New Roman" w:cs="Helvetica" w:hint="eastAsia"/>
          <w:color w:val="333333"/>
          <w:sz w:val="20"/>
          <w:szCs w:val="20"/>
        </w:rPr>
        <w:t>，并伴有疼痛。</w:t>
      </w:r>
    </w:p>
    <w:p w14:paraId="28BDFAAB" w14:textId="3818844B" w:rsidR="0065134B" w:rsidRPr="002F757D" w:rsidRDefault="0065134B" w:rsidP="00854701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bCs/>
          <w:color w:val="333333"/>
          <w:sz w:val="20"/>
          <w:szCs w:val="20"/>
        </w:rPr>
        <w:t>查体</w:t>
      </w:r>
      <w:r w:rsidRPr="002F757D">
        <w:rPr>
          <w:rFonts w:ascii="Times New Roman" w:hAnsi="Times New Roman" w:cs="Helvetica"/>
          <w:bCs/>
          <w:color w:val="333333"/>
          <w:sz w:val="20"/>
          <w:szCs w:val="20"/>
        </w:rPr>
        <w:t>: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哺乳期乳腺变化。左上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 xml:space="preserve"> 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乳房可扪及一个约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6*10cm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的大肿块。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质地坚硬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，呈分叶状，边界不清，表面光滑，不易移动。左侧腋下可见肿大固定淋巴结。我院超声示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：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左乳多发低回声区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较大肿块大小约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9.5*6.3cm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，边界不清且不规则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。我们立即在超声引导下对肿块及左侧腋窝淋巴结进行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空心针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穿刺活检。活检结果显示左乳为化生性乳腺癌伴淋巴结转移。经过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全院病例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讨论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，我们于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2020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13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日行改良左侧乳腺癌根治术及腋窝淋巴结清扫术。病理结果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: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化生型乳腺癌，由梭形细胞和上皮样细胞组成。细胞的异型性明显。可见广泛坏死及血管内癌栓，乳头及皮肤未见癌浸润。肿瘤基底切缘阳性。腋窝有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个淋巴结转移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(4/26)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。免疫组化染色结果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:ER-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阴性，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PR-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阴性，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CerbB-2-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阴性，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Ki-67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40%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P53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60%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CK5/6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</w:p>
    <w:p w14:paraId="70B226FF" w14:textId="3AE53DDD" w:rsidR="0065134B" w:rsidRPr="002F757D" w:rsidRDefault="0065134B" w:rsidP="00C45119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术后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天，患者右侧胸壁剧烈疼痛。肺部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CT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示胸骨旁两侧胸壁有异常软组织影，考虑胸膜转移。腰椎磁共振成像显示第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椎体骨质破坏，伴有压缩性骨折和骨髓水肿，考虑骨转移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3)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2020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23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日至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日，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患者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接受了表柔比星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(130mg)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>联合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环磷酰胺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(0.9g)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>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个周期。化疗疗效评价为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SD(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病情稳定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医生的建议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下，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患者进行第二代基因测序。基因检测结果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：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突变基因为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TERT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NF2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TP53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；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程序性死亡配体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表达阳性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(TPS=60%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 xml:space="preserve"> CPS=65)(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4)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 xml:space="preserve"> 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2020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25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日至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12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16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日，</w:t>
      </w:r>
      <w:r w:rsidR="00C558E6" w:rsidRPr="002F757D">
        <w:rPr>
          <w:rFonts w:ascii="Times New Roman" w:hAnsi="Times New Roman" w:cs="Helvetica" w:hint="eastAsia"/>
          <w:color w:val="333333"/>
          <w:sz w:val="20"/>
          <w:szCs w:val="20"/>
        </w:rPr>
        <w:t>患者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接受了抗程序性死亡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卡瑞利珠</w:t>
      </w:r>
      <w:r w:rsidR="00C45119">
        <w:rPr>
          <w:rFonts w:ascii="Times New Roman" w:hAnsi="Times New Roman" w:cs="Helvetica" w:hint="eastAsia"/>
          <w:color w:val="333333"/>
          <w:sz w:val="20"/>
          <w:szCs w:val="20"/>
        </w:rPr>
        <w:t>单抗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200mg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联合化疗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白蛋白紫杉醇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380mg)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。然而，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该患者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病情继续迅速进展，胸壁肿块变大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破溃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5)</w:t>
      </w:r>
      <w:r w:rsidRPr="002F757D">
        <w:rPr>
          <w:rFonts w:ascii="Times New Roman" w:hAnsi="Times New Roman" w:cs="Helvetica" w:hint="eastAsi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2021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年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月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15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日，患者死于肿瘤压迫导致的呼吸衰竭。</w:t>
      </w:r>
    </w:p>
    <w:p w14:paraId="5E1248F3" w14:textId="17E02AD3" w:rsidR="0065134B" w:rsidRPr="008C0275" w:rsidRDefault="002F757D" w:rsidP="00C558E6">
      <w:pPr>
        <w:pStyle w:val="machinetrans-lang-zh-cn"/>
        <w:spacing w:before="72" w:beforeAutospacing="0" w:after="72" w:afterAutospacing="0" w:line="360" w:lineRule="auto"/>
        <w:rPr>
          <w:rFonts w:ascii="Times New Roman" w:hAnsi="Times New Roman" w:cs="Helvetica"/>
          <w:b/>
          <w:color w:val="333333"/>
          <w:sz w:val="20"/>
          <w:szCs w:val="20"/>
        </w:rPr>
      </w:pPr>
      <w:r w:rsidRPr="008C0275">
        <w:rPr>
          <w:rFonts w:ascii="Times New Roman" w:hAnsi="Times New Roman" w:cs="Helvetica" w:hint="eastAsia"/>
          <w:b/>
          <w:color w:val="333333"/>
          <w:sz w:val="20"/>
          <w:szCs w:val="20"/>
        </w:rPr>
        <w:t>3</w:t>
      </w:r>
      <w:r w:rsidRPr="008C0275">
        <w:rPr>
          <w:rFonts w:ascii="Times New Roman" w:hAnsi="Times New Roman" w:cs="Helvetica"/>
          <w:b/>
          <w:color w:val="333333"/>
          <w:sz w:val="20"/>
          <w:szCs w:val="20"/>
        </w:rPr>
        <w:t xml:space="preserve">. </w:t>
      </w:r>
      <w:r w:rsidR="0065134B" w:rsidRPr="008C0275">
        <w:rPr>
          <w:rFonts w:ascii="Times New Roman" w:hAnsi="Times New Roman" w:cs="Helvetica"/>
          <w:b/>
          <w:color w:val="333333"/>
          <w:sz w:val="20"/>
          <w:szCs w:val="20"/>
        </w:rPr>
        <w:t>讨论</w:t>
      </w:r>
    </w:p>
    <w:p w14:paraId="6D1339F3" w14:textId="71929D57" w:rsidR="002F757D" w:rsidRPr="002F757D" w:rsidRDefault="0065134B" w:rsidP="002F757D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在这个病例中，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该名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患者疾病进展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迅速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，术后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天出现胸壁复发，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3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个月后死亡。根据既往文献报道，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的平均总生存期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(OS)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较短，但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其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O</w:t>
      </w:r>
      <w:r w:rsidR="002F757D" w:rsidRPr="002F757D">
        <w:rPr>
          <w:rFonts w:ascii="Times New Roman" w:hAnsi="Times New Roman" w:cs="Helvetica"/>
          <w:color w:val="333333"/>
          <w:sz w:val="20"/>
          <w:szCs w:val="20"/>
        </w:rPr>
        <w:t>S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在发生转移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[9]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后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仍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达到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8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个月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一系列的临床和病理特征可能对预测预后有重要意义。预后不良最显著的指标为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: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肿瘤大小大、细胞角蛋白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5/6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[10 11]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、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Ki-67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高表达、淋巴结</w:t>
      </w:r>
      <w:r w:rsidRPr="002F757D">
        <w:rPr>
          <w:rFonts w:ascii="Times New Roman" w:hAnsi="Times New Roman" w:cs="Helvetica" w:hint="eastAsia"/>
          <w:color w:val="333333"/>
          <w:sz w:val="20"/>
          <w:szCs w:val="20"/>
        </w:rPr>
        <w:t>受累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[12 13]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。患者为哺乳期妇女，起初被误诊为乳腺炎。因此，当患者被诊断为化生性乳腺癌时，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已经是晚期乳腺癌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。尽管我们对她的乳腺癌进行了根治性乳房切除术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保留胸小肌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，但基底切除边缘仍然是阳性的。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并且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由于病情发展迅速，病人无法接受更彻底的</w:t>
      </w:r>
      <w:r w:rsidRPr="002F757D">
        <w:rPr>
          <w:rFonts w:ascii="Times New Roman" w:hAnsi="Times New Roman" w:cs="Helvetica" w:hint="eastAsia"/>
          <w:color w:val="333333"/>
          <w:sz w:val="20"/>
          <w:szCs w:val="20"/>
        </w:rPr>
        <w:t>清除手术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。边缘阳性可能与随后的胸壁转移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[14]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密切相关。</w:t>
      </w:r>
    </w:p>
    <w:p w14:paraId="380242B7" w14:textId="20AAF61D" w:rsidR="0065134B" w:rsidRPr="002F757D" w:rsidRDefault="0065134B" w:rsidP="00854701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lastRenderedPageBreak/>
        <w:t>化疗是三阴性乳腺癌的主要全身治疗方法。然而，化疗对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的影响存在争议。在对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2500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患者的回顾中，他们发现使用化疗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 xml:space="preserve">(19.4% 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辅助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57.4%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辅助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与不使用化疗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(24.9%)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相比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显著改善患者生存期，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但使用的特定化疗方案未被报道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[15]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。然而，在其他研究中，化疗的结果令人失望，特别是新辅助化疗。在对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1137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患者的研究中，化疗组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(21.1%)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非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化疗组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(24.3%)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相比，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患者的乳腺癌特异性死亡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(BCSD)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没有改善。在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Willard Wong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的研究中，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44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例接受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NAC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[4]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患者中只有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</w:t>
      </w:r>
      <w:r w:rsidR="00B55770" w:rsidRPr="002F757D">
        <w:rPr>
          <w:rFonts w:ascii="Times New Roman" w:hAnsi="Times New Roman" w:cs="Helvetica" w:hint="eastAsia"/>
          <w:color w:val="333333"/>
          <w:sz w:val="20"/>
          <w:szCs w:val="20"/>
        </w:rPr>
        <w:t>达到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pCR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B T Hennessy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的研究中，新辅助化疗的病理完全缓解率为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10%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[16]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。关于放射治疗在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中的作用的研究较少。在一项美国大型数据库的回顾性研究中，乳腺癌切除术后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RT(PMRT)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pT3-4/N+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病例的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OS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获益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[17]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相关。因此，在这种情况下，乳房切除术后放疗可能是有效的。</w:t>
      </w:r>
    </w:p>
    <w:p w14:paraId="49C64A6F" w14:textId="20993648" w:rsidR="0065134B" w:rsidRPr="002F757D" w:rsidRDefault="0065134B" w:rsidP="002F757D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PD-1/PD-L1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途径调控肿瘤微环境内免疫耐受的诱导和维持。在肿瘤上，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与免疫细胞上的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结合可促进免疫逃避和肿瘤进展。有研究表明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在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中经常过表达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[6 18]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，提示针对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PD-1/PD-L1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的免疫治疗可能是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的潜在治疗方法之一。本例患者肿瘤细胞中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表达率高达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60%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膜染色阳性肿瘤细胞和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阳性肿瘤相关免疫细胞中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表达率高达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65%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表达率不低，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我们使用了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白蛋白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-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紫杉醇联合抗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 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治疗，但未见临床获益。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在肿瘤中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="002F757D" w:rsidRPr="002F757D">
        <w:rPr>
          <w:rFonts w:ascii="Times New Roman" w:hAnsi="Times New Roman" w:cs="Helvetica" w:hint="eastAsia"/>
          <w:color w:val="333333"/>
          <w:sz w:val="20"/>
          <w:szCs w:val="20"/>
        </w:rPr>
        <w:t>表达具有异质性，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非小细胞肺癌表现出不同程度的肿瘤内异质性和肿瘤间异质性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[19]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。这意味着免疫组化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在整个组织切片中的表达率可能并不代表整个肿瘤。</w:t>
      </w:r>
    </w:p>
    <w:p w14:paraId="57226A00" w14:textId="03682F61" w:rsidR="0065134B" w:rsidRPr="002F757D" w:rsidRDefault="0065134B" w:rsidP="002F757D">
      <w:pPr>
        <w:pStyle w:val="machinetrans-lang-zh-cn"/>
        <w:spacing w:before="72" w:beforeAutospacing="0" w:after="72" w:afterAutospacing="0" w:line="360" w:lineRule="auto"/>
        <w:ind w:firstLineChars="200" w:firstLine="400"/>
        <w:rPr>
          <w:rFonts w:ascii="Times New Roman" w:hAnsi="Times New Roman" w:cs="Helvetica"/>
          <w:color w:val="333333"/>
          <w:sz w:val="20"/>
          <w:szCs w:val="20"/>
        </w:rPr>
      </w:pPr>
      <w:r w:rsidRPr="002F757D">
        <w:rPr>
          <w:rFonts w:ascii="Times New Roman" w:hAnsi="Times New Roman" w:cs="Helvetica"/>
          <w:color w:val="333333"/>
          <w:sz w:val="20"/>
          <w:szCs w:val="20"/>
        </w:rPr>
        <w:t>除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表达外，许多因素也可能影响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PD-1/PD-L1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抑制剂诱导的肿瘤消退，如肿瘤浸润淋巴细胞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（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T</w:t>
      </w:r>
      <w:r w:rsidR="00854701" w:rsidRPr="00854701">
        <w:rPr>
          <w:rFonts w:ascii="Times New Roman" w:hAnsi="Times New Roman" w:cs="Helvetica"/>
          <w:color w:val="333333"/>
          <w:sz w:val="20"/>
          <w:szCs w:val="20"/>
        </w:rPr>
        <w:t>umor infiltrating lymphocyte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，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T</w:t>
      </w:r>
      <w:r w:rsidR="00854701">
        <w:rPr>
          <w:rFonts w:ascii="Times New Roman" w:hAnsi="Times New Roman" w:cs="Helvetica"/>
          <w:color w:val="333333"/>
          <w:sz w:val="20"/>
          <w:szCs w:val="20"/>
        </w:rPr>
        <w:t>IL</w:t>
      </w:r>
      <w:r w:rsidR="00854701">
        <w:rPr>
          <w:rFonts w:ascii="Times New Roman" w:hAnsi="Times New Roman" w:cs="Helvetica" w:hint="eastAsia"/>
          <w:color w:val="333333"/>
          <w:sz w:val="20"/>
          <w:szCs w:val="20"/>
        </w:rPr>
        <w:t>）</w:t>
      </w:r>
      <w:r w:rsidRPr="00854701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[20]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TIL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密度已被证实与改善临床对化疗和免疫检查点抑制剂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(ICI)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</w:t>
      </w:r>
      <w:r w:rsidRPr="00C45119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[21]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的反应有关。一项研究记录了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82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例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MBC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患者不同化生成分的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TIL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浸润和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表达。所有病例均显示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spindled component (Sp)</w:t>
      </w:r>
      <w:r w:rsidRPr="00C45119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[22]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sTIL(H/I)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阳性较低，这可能是该患者抗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 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治疗失败的原因。有些驱动基因突变会影响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的表达，如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突变会上调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的表达，阻碍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TIL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的激活。一项针对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突变阳性非小细胞肺癌的研究表明，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 xml:space="preserve">EGFR- </w:t>
      </w:r>
      <w:r w:rsidR="00854701">
        <w:rPr>
          <w:rFonts w:ascii="Times New Roman" w:hAnsi="Times New Roman" w:cs="Helvetica"/>
          <w:color w:val="333333"/>
          <w:sz w:val="20"/>
          <w:szCs w:val="20"/>
        </w:rPr>
        <w:t>TKI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治疗也可能导致免疫细胞中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表达增加，肿瘤细胞中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PD-L1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表达增加的患者往往对随后的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ICI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治疗表现出持久反应。就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ICI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疗效</w:t>
      </w:r>
      <w:r w:rsidRPr="00C45119">
        <w:rPr>
          <w:rFonts w:ascii="Times New Roman" w:hAnsi="Times New Roman" w:cs="Helvetica"/>
          <w:color w:val="333333"/>
          <w:sz w:val="20"/>
          <w:szCs w:val="20"/>
          <w:vertAlign w:val="superscript"/>
        </w:rPr>
        <w:t>[23]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而言，提示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EGFR-TKI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治疗对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TME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有良好的影响。因此，抗</w:t>
      </w:r>
      <w:r w:rsidR="00854701">
        <w:rPr>
          <w:rFonts w:ascii="Times New Roman" w:hAnsi="Times New Roman" w:cs="Helvetica"/>
          <w:color w:val="333333"/>
          <w:sz w:val="20"/>
          <w:szCs w:val="20"/>
        </w:rPr>
        <w:t>PD-1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免疫治疗联合抗</w:t>
      </w:r>
      <w:r w:rsidR="00BD27D5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靶向治疗可能对</w:t>
      </w:r>
      <w:r w:rsidR="00BD27D5">
        <w:rPr>
          <w:rFonts w:ascii="Times New Roman" w:hAnsi="Times New Roman" w:cs="Helvetica"/>
          <w:color w:val="333333"/>
          <w:sz w:val="20"/>
          <w:szCs w:val="20"/>
        </w:rPr>
        <w:t>EGFR</w:t>
      </w:r>
      <w:r w:rsidRPr="002F757D">
        <w:rPr>
          <w:rFonts w:ascii="Times New Roman" w:hAnsi="Times New Roman" w:cs="Helvetica"/>
          <w:color w:val="333333"/>
          <w:sz w:val="20"/>
          <w:szCs w:val="20"/>
        </w:rPr>
        <w:t>阳性突变患者带来一定的临床益处。</w:t>
      </w:r>
    </w:p>
    <w:p w14:paraId="187EF285" w14:textId="77777777" w:rsidR="00BD27D5" w:rsidRPr="0012477A" w:rsidRDefault="00BD27D5" w:rsidP="00BD27D5">
      <w:pPr>
        <w:spacing w:line="48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2477A">
        <w:rPr>
          <w:rFonts w:ascii="Times New Roman" w:hAnsi="Times New Roman" w:cs="Times New Roman" w:hint="eastAsia"/>
          <w:b/>
          <w:bCs/>
          <w:sz w:val="24"/>
          <w:szCs w:val="24"/>
        </w:rPr>
        <w:t>Refer</w:t>
      </w:r>
      <w:r w:rsidRPr="0012477A">
        <w:rPr>
          <w:rFonts w:ascii="Times New Roman" w:hAnsi="Times New Roman" w:cs="Times New Roman"/>
          <w:b/>
          <w:bCs/>
          <w:sz w:val="24"/>
          <w:szCs w:val="24"/>
        </w:rPr>
        <w:t>ence</w:t>
      </w:r>
    </w:p>
    <w:p w14:paraId="592A989B" w14:textId="77777777" w:rsidR="00BD27D5" w:rsidRPr="0076437E" w:rsidRDefault="00BD27D5" w:rsidP="00BD27D5">
      <w:pPr>
        <w:pStyle w:val="EndNoteBibliography"/>
      </w:pPr>
      <w:r>
        <w:fldChar w:fldCharType="begin"/>
      </w:r>
      <w:r>
        <w:instrText xml:space="preserve"> ADDIN EN.REFLIST </w:instrText>
      </w:r>
      <w:r>
        <w:fldChar w:fldCharType="separate"/>
      </w:r>
      <w:r w:rsidRPr="0076437E">
        <w:t>[1] Board WCoTE. WHO classification of tumours: breast tumours: IARC Press Lyon, 2019.</w:t>
      </w:r>
    </w:p>
    <w:p w14:paraId="522D464D" w14:textId="77777777" w:rsidR="00BD27D5" w:rsidRPr="0076437E" w:rsidRDefault="00BD27D5" w:rsidP="00BD27D5">
      <w:pPr>
        <w:pStyle w:val="EndNoteBibliography"/>
      </w:pPr>
      <w:r w:rsidRPr="0076437E">
        <w:t xml:space="preserve">[2] Weigelt B, Eberle C, Cowell CF, et al. Metaplastic breast carcinoma: more than a special type. </w:t>
      </w:r>
      <w:r w:rsidRPr="0076437E">
        <w:rPr>
          <w:i/>
        </w:rPr>
        <w:t>Nat Rev Cancer</w:t>
      </w:r>
      <w:r w:rsidRPr="0076437E">
        <w:t xml:space="preserve"> 2014;14(3):147-48.</w:t>
      </w:r>
      <w:hyperlink r:id="rId6" w:history="1">
        <w:r w:rsidRPr="0076437E">
          <w:rPr>
            <w:rStyle w:val="a7"/>
          </w:rPr>
          <w:t>https://doi.org/10.1038/nrc3637</w:t>
        </w:r>
      </w:hyperlink>
    </w:p>
    <w:p w14:paraId="2DEEE991" w14:textId="77777777" w:rsidR="00BD27D5" w:rsidRPr="0076437E" w:rsidRDefault="00BD27D5" w:rsidP="00BD27D5">
      <w:pPr>
        <w:pStyle w:val="EndNoteBibliography"/>
      </w:pPr>
      <w:r w:rsidRPr="0076437E">
        <w:lastRenderedPageBreak/>
        <w:t xml:space="preserve">[3] González-Martínez S, Pérez-Mies B, Carretero-Barrio I, et al. Molecular Features of Metaplastic Breast Carcinoma: An Infrequent Subtype of Triple Negative Breast Carcinoma. </w:t>
      </w:r>
      <w:r w:rsidRPr="0076437E">
        <w:rPr>
          <w:i/>
        </w:rPr>
        <w:t>Cancers (Basel)</w:t>
      </w:r>
      <w:r w:rsidRPr="0076437E">
        <w:t xml:space="preserve"> 2020;12(7)10.3390/cancers12071832</w:t>
      </w:r>
    </w:p>
    <w:p w14:paraId="4183213D" w14:textId="77777777" w:rsidR="00BD27D5" w:rsidRPr="0076437E" w:rsidRDefault="00BD27D5" w:rsidP="00BD27D5">
      <w:pPr>
        <w:pStyle w:val="EndNoteBibliography"/>
      </w:pPr>
      <w:r w:rsidRPr="0076437E">
        <w:t xml:space="preserve">[4] Wong W, Brogi E, Reis-Filho JS, et al. Poor response to neoadjuvant chemotherapy in metaplastic breast carcinoma. </w:t>
      </w:r>
      <w:r w:rsidRPr="0076437E">
        <w:rPr>
          <w:i/>
        </w:rPr>
        <w:t>NPJ Breast Cancer</w:t>
      </w:r>
      <w:r w:rsidRPr="0076437E">
        <w:t xml:space="preserve"> 2021;7(1):96.</w:t>
      </w:r>
      <w:hyperlink r:id="rId7" w:history="1">
        <w:r w:rsidRPr="0076437E">
          <w:rPr>
            <w:rStyle w:val="a7"/>
          </w:rPr>
          <w:t>https://doi.org/10.1038/s41523-021-00302-z</w:t>
        </w:r>
      </w:hyperlink>
    </w:p>
    <w:p w14:paraId="5E9EF886" w14:textId="77777777" w:rsidR="00BD27D5" w:rsidRPr="0076437E" w:rsidRDefault="00BD27D5" w:rsidP="00BD27D5">
      <w:pPr>
        <w:pStyle w:val="EndNoteBibliography"/>
      </w:pPr>
      <w:r w:rsidRPr="0076437E">
        <w:t xml:space="preserve">[5] Lan T, Lu Y, Zheng R, et al. The Role of Adjuvant Chemotherapy in Metaplastic Breast Carcinoma: A Competing Risk Analysis of the SEER Database. </w:t>
      </w:r>
      <w:r w:rsidRPr="0076437E">
        <w:rPr>
          <w:i/>
        </w:rPr>
        <w:t>Front Oncol</w:t>
      </w:r>
      <w:r w:rsidRPr="0076437E">
        <w:t xml:space="preserve"> 2021;11:572230.</w:t>
      </w:r>
      <w:hyperlink r:id="rId8" w:history="1">
        <w:r w:rsidRPr="0076437E">
          <w:rPr>
            <w:rStyle w:val="a7"/>
          </w:rPr>
          <w:t>https://doi.org/10.3389/fonc.2021.572230</w:t>
        </w:r>
      </w:hyperlink>
    </w:p>
    <w:p w14:paraId="13B124F1" w14:textId="77777777" w:rsidR="00BD27D5" w:rsidRPr="0076437E" w:rsidRDefault="00BD27D5" w:rsidP="00BD27D5">
      <w:pPr>
        <w:pStyle w:val="EndNoteBibliography"/>
      </w:pPr>
      <w:r w:rsidRPr="0076437E">
        <w:t xml:space="preserve">[6] Kalaw E, Lim M, Kutasovic JR, et al. Metaplastic breast cancers frequently express immune checkpoint markers FOXP3 and PD-L1. </w:t>
      </w:r>
      <w:r w:rsidRPr="0076437E">
        <w:rPr>
          <w:i/>
        </w:rPr>
        <w:t>Br J Cancer</w:t>
      </w:r>
      <w:r w:rsidRPr="0076437E">
        <w:t xml:space="preserve"> 2020;123(11):1665-72.</w:t>
      </w:r>
      <w:hyperlink r:id="rId9" w:history="1">
        <w:r w:rsidRPr="0076437E">
          <w:rPr>
            <w:rStyle w:val="a7"/>
          </w:rPr>
          <w:t>https://doi.org/10.1038/s41416-020-01065-3</w:t>
        </w:r>
      </w:hyperlink>
    </w:p>
    <w:p w14:paraId="0DE2F97C" w14:textId="77777777" w:rsidR="00BD27D5" w:rsidRPr="0076437E" w:rsidRDefault="00BD27D5" w:rsidP="00BD27D5">
      <w:pPr>
        <w:pStyle w:val="EndNoteBibliography"/>
      </w:pPr>
      <w:r w:rsidRPr="0076437E">
        <w:t xml:space="preserve">[7] Joneja U, Vranic S, Swensen J, et al. Comprehensive profiling of metaplastic breast carcinomas reveals frequent overexpression of programmed death-ligand 1. </w:t>
      </w:r>
      <w:r w:rsidRPr="0076437E">
        <w:rPr>
          <w:i/>
        </w:rPr>
        <w:t>J Clin Pathol</w:t>
      </w:r>
      <w:r w:rsidRPr="0076437E">
        <w:t xml:space="preserve"> 2017;70(3):255-59.</w:t>
      </w:r>
      <w:hyperlink r:id="rId10" w:history="1">
        <w:r w:rsidRPr="0076437E">
          <w:rPr>
            <w:rStyle w:val="a7"/>
          </w:rPr>
          <w:t>https://doi.org/10.1136/jclinpath-2016-203874</w:t>
        </w:r>
      </w:hyperlink>
    </w:p>
    <w:p w14:paraId="5789CBE8" w14:textId="77777777" w:rsidR="00BD27D5" w:rsidRPr="0076437E" w:rsidRDefault="00BD27D5" w:rsidP="00BD27D5">
      <w:pPr>
        <w:pStyle w:val="EndNoteBibliography"/>
      </w:pPr>
      <w:r w:rsidRPr="0076437E">
        <w:t xml:space="preserve">[8] Chao X, Liu L, Sun P, et al. Immune parameters associated with survival in metaplastic breast cancer. </w:t>
      </w:r>
      <w:r w:rsidRPr="0076437E">
        <w:rPr>
          <w:i/>
        </w:rPr>
        <w:t>Breast Cancer Res</w:t>
      </w:r>
      <w:r w:rsidRPr="0076437E">
        <w:t xml:space="preserve"> 2020;22(1):92.</w:t>
      </w:r>
      <w:hyperlink r:id="rId11" w:history="1">
        <w:r w:rsidRPr="0076437E">
          <w:rPr>
            <w:rStyle w:val="a7"/>
          </w:rPr>
          <w:t>https://doi.org/10.1186/s13058-020-01330-6</w:t>
        </w:r>
      </w:hyperlink>
    </w:p>
    <w:p w14:paraId="5C607685" w14:textId="77777777" w:rsidR="00BD27D5" w:rsidRPr="0076437E" w:rsidRDefault="00BD27D5" w:rsidP="00BD27D5">
      <w:pPr>
        <w:pStyle w:val="EndNoteBibliography"/>
      </w:pPr>
      <w:r w:rsidRPr="0076437E">
        <w:t xml:space="preserve">[9] Nelson RA, Guye ML, Luu T, et al. Survival outcomes of metaplastic breast cancer patients: results from a US population-based analysis. </w:t>
      </w:r>
      <w:r w:rsidRPr="0076437E">
        <w:rPr>
          <w:i/>
        </w:rPr>
        <w:t>Ann Surg Oncol</w:t>
      </w:r>
      <w:r w:rsidRPr="0076437E">
        <w:t xml:space="preserve"> 2015;22(1):24-31.</w:t>
      </w:r>
      <w:hyperlink r:id="rId12" w:history="1">
        <w:r w:rsidRPr="0076437E">
          <w:rPr>
            <w:rStyle w:val="a7"/>
          </w:rPr>
          <w:t>https://doi.org/10.1245/s10434-014-3890-4</w:t>
        </w:r>
      </w:hyperlink>
    </w:p>
    <w:p w14:paraId="7BAFB417" w14:textId="77777777" w:rsidR="00BD27D5" w:rsidRPr="0076437E" w:rsidRDefault="00BD27D5" w:rsidP="00BD27D5">
      <w:pPr>
        <w:pStyle w:val="EndNoteBibliography"/>
      </w:pPr>
      <w:r w:rsidRPr="0076437E">
        <w:t xml:space="preserve">[10] Voutilainen S, Heikkilä P, Sampo M, et al. Expression of markers of stem cell characteristics, epithelial-mesenchymal transition, basal-like phenotype, proliferation, and androgen receptor in metaplastic breast cancer and their prognostic impact. </w:t>
      </w:r>
      <w:r w:rsidRPr="0076437E">
        <w:rPr>
          <w:i/>
        </w:rPr>
        <w:t>Acta Oncol</w:t>
      </w:r>
      <w:r w:rsidRPr="0076437E">
        <w:t xml:space="preserve"> 2021;60(9):1233-39.</w:t>
      </w:r>
      <w:hyperlink r:id="rId13" w:history="1">
        <w:r w:rsidRPr="0076437E">
          <w:rPr>
            <w:rStyle w:val="a7"/>
          </w:rPr>
          <w:t>https://doi.org/10.1080/0284186X.2021.1950927</w:t>
        </w:r>
      </w:hyperlink>
    </w:p>
    <w:p w14:paraId="1E9CC627" w14:textId="77777777" w:rsidR="00BD27D5" w:rsidRPr="0076437E" w:rsidRDefault="00BD27D5" w:rsidP="00BD27D5">
      <w:pPr>
        <w:pStyle w:val="EndNoteBibliography"/>
      </w:pPr>
      <w:r w:rsidRPr="0076437E">
        <w:t xml:space="preserve">[11] McCart Reed AE, Kalaw E, Nones K, et al. Phenotypic and molecular dissection of metaplastic breast cancer and the prognostic implications. </w:t>
      </w:r>
      <w:r w:rsidRPr="0076437E">
        <w:rPr>
          <w:i/>
        </w:rPr>
        <w:t>J Pathol</w:t>
      </w:r>
      <w:r w:rsidRPr="0076437E">
        <w:t xml:space="preserve"> 2019;247(2):214-27.</w:t>
      </w:r>
      <w:hyperlink r:id="rId14" w:history="1">
        <w:r w:rsidRPr="0076437E">
          <w:rPr>
            <w:rStyle w:val="a7"/>
          </w:rPr>
          <w:t>https://doi.org/10.1002/path.5184</w:t>
        </w:r>
      </w:hyperlink>
    </w:p>
    <w:p w14:paraId="7F6A79F1" w14:textId="77777777" w:rsidR="00BD27D5" w:rsidRPr="0076437E" w:rsidRDefault="00BD27D5" w:rsidP="00BD27D5">
      <w:pPr>
        <w:pStyle w:val="EndNoteBibliography"/>
      </w:pPr>
      <w:r w:rsidRPr="0076437E">
        <w:t xml:space="preserve">[12] Song Y, Liu X, Zhang G, et al. Unique clinicopathological features of metaplastic breast carcinoma compared with invasive ductal carcinoma and poor prognostic indicators. </w:t>
      </w:r>
      <w:r w:rsidRPr="0076437E">
        <w:rPr>
          <w:i/>
        </w:rPr>
        <w:t>World J Surg Oncol</w:t>
      </w:r>
      <w:r w:rsidRPr="0076437E">
        <w:t xml:space="preserve"> 2013;11:129.</w:t>
      </w:r>
      <w:hyperlink r:id="rId15" w:history="1">
        <w:r w:rsidRPr="0076437E">
          <w:rPr>
            <w:rStyle w:val="a7"/>
          </w:rPr>
          <w:t>https://doi.org/10.1186/1477-7819-11-129</w:t>
        </w:r>
      </w:hyperlink>
    </w:p>
    <w:p w14:paraId="32D50019" w14:textId="77777777" w:rsidR="00BD27D5" w:rsidRPr="0076437E" w:rsidRDefault="00BD27D5" w:rsidP="00BD27D5">
      <w:pPr>
        <w:pStyle w:val="EndNoteBibliography"/>
      </w:pPr>
      <w:r w:rsidRPr="0076437E">
        <w:t xml:space="preserve">[13] Zhang Y, Lv F, Yang Y, et al. Clinicopathological Features and Prognosis of Metaplastic Breast Carcinoma: Experience of a Major Chinese Cancer Center. </w:t>
      </w:r>
      <w:r w:rsidRPr="0076437E">
        <w:rPr>
          <w:i/>
        </w:rPr>
        <w:t>PLoS One</w:t>
      </w:r>
      <w:r w:rsidRPr="0076437E">
        <w:t xml:space="preserve"> 2015;10(6):e0131409.</w:t>
      </w:r>
      <w:hyperlink r:id="rId16" w:history="1">
        <w:r w:rsidRPr="0076437E">
          <w:rPr>
            <w:rStyle w:val="a7"/>
          </w:rPr>
          <w:t>https://doi.org/10.1371/journal.pone.0131409</w:t>
        </w:r>
      </w:hyperlink>
    </w:p>
    <w:p w14:paraId="30718823" w14:textId="77777777" w:rsidR="00BD27D5" w:rsidRPr="0076437E" w:rsidRDefault="00BD27D5" w:rsidP="00BD27D5">
      <w:pPr>
        <w:pStyle w:val="EndNoteBibliography"/>
      </w:pPr>
      <w:r w:rsidRPr="0076437E">
        <w:t xml:space="preserve">[14] Maishman T, Cutress RI, Hernandez A, et al. Local Recurrence and Breast Oncological Surgery in Young Women With Breast Cancer: The POSH Observational Cohort Study. </w:t>
      </w:r>
      <w:r w:rsidRPr="0076437E">
        <w:rPr>
          <w:i/>
        </w:rPr>
        <w:t>Ann Surg</w:t>
      </w:r>
      <w:r w:rsidRPr="0076437E">
        <w:t xml:space="preserve"> 2017;266(1):165-72.</w:t>
      </w:r>
      <w:hyperlink r:id="rId17" w:history="1">
        <w:r w:rsidRPr="0076437E">
          <w:rPr>
            <w:rStyle w:val="a7"/>
          </w:rPr>
          <w:t>https://doi.org/10.1097/SLA.0000000000001930</w:t>
        </w:r>
      </w:hyperlink>
    </w:p>
    <w:p w14:paraId="0E808461" w14:textId="77777777" w:rsidR="00BD27D5" w:rsidRPr="0076437E" w:rsidRDefault="00BD27D5" w:rsidP="00BD27D5">
      <w:pPr>
        <w:pStyle w:val="EndNoteBibliography"/>
      </w:pPr>
      <w:r w:rsidRPr="0076437E">
        <w:t xml:space="preserve">[15] Ong CT, Campbell BM, Thomas SM, et al. Metaplastic Breast Cancer Treatment and Outcomes in 2500 Patients: A Retrospective Analysis of a National Oncology Database. </w:t>
      </w:r>
      <w:r w:rsidRPr="0076437E">
        <w:rPr>
          <w:i/>
        </w:rPr>
        <w:t>Ann Surg Oncol</w:t>
      </w:r>
      <w:r w:rsidRPr="0076437E">
        <w:t xml:space="preserve"> 2018;25(8):2249-60.</w:t>
      </w:r>
      <w:hyperlink r:id="rId18" w:history="1">
        <w:r w:rsidRPr="0076437E">
          <w:rPr>
            <w:rStyle w:val="a7"/>
          </w:rPr>
          <w:t>https://doi.org/10.1245/s10434-018-6533-3</w:t>
        </w:r>
      </w:hyperlink>
    </w:p>
    <w:p w14:paraId="736332A9" w14:textId="77777777" w:rsidR="00BD27D5" w:rsidRPr="0076437E" w:rsidRDefault="00BD27D5" w:rsidP="00BD27D5">
      <w:pPr>
        <w:pStyle w:val="EndNoteBibliography"/>
      </w:pPr>
      <w:r w:rsidRPr="0076437E">
        <w:t xml:space="preserve">[16] Hennessy BT, Giordano S, Broglio K, et al. Biphasic metaplastic sarcomatoid carcinoma of the breast. </w:t>
      </w:r>
      <w:r w:rsidRPr="0076437E">
        <w:rPr>
          <w:i/>
        </w:rPr>
        <w:t>Ann Oncol</w:t>
      </w:r>
      <w:r w:rsidRPr="0076437E">
        <w:t xml:space="preserve"> 2006;17(4):605-13</w:t>
      </w:r>
      <w:r>
        <w:t>.</w:t>
      </w:r>
    </w:p>
    <w:p w14:paraId="3F9B6ACA" w14:textId="77777777" w:rsidR="00BD27D5" w:rsidRPr="0076437E" w:rsidRDefault="00BD27D5" w:rsidP="00BD27D5">
      <w:pPr>
        <w:pStyle w:val="EndNoteBibliography"/>
      </w:pPr>
      <w:r w:rsidRPr="0076437E">
        <w:t xml:space="preserve">[17] Haque W, Verma V, Naik N, et al. Metaplastic Breast Cancer: Practice Patterns, Outcomes, and the Role of Radiotherapy. </w:t>
      </w:r>
      <w:r w:rsidRPr="0076437E">
        <w:rPr>
          <w:i/>
        </w:rPr>
        <w:t>Ann Surg Oncol</w:t>
      </w:r>
      <w:r w:rsidRPr="0076437E">
        <w:t xml:space="preserve"> 2018;25(4):928-36.</w:t>
      </w:r>
      <w:hyperlink r:id="rId19" w:history="1">
        <w:r w:rsidRPr="0076437E">
          <w:rPr>
            <w:rStyle w:val="a7"/>
          </w:rPr>
          <w:t>https://doi.org/10.1245/s10434-017-6316-2</w:t>
        </w:r>
      </w:hyperlink>
    </w:p>
    <w:p w14:paraId="485CA8B7" w14:textId="77777777" w:rsidR="00BD27D5" w:rsidRPr="0076437E" w:rsidRDefault="00BD27D5" w:rsidP="00BD27D5">
      <w:pPr>
        <w:pStyle w:val="EndNoteBibliography"/>
      </w:pPr>
      <w:r w:rsidRPr="0076437E">
        <w:lastRenderedPageBreak/>
        <w:t xml:space="preserve">[18] Dill EA, Gru AA, Atkins KA, et al. PD-L1 Expression and Intratumoral Heterogeneity Across Breast Cancer Subtypes and Stages: An Assessment of 245 Primary and 40 Metastatic Tumors. </w:t>
      </w:r>
      <w:r w:rsidRPr="0076437E">
        <w:rPr>
          <w:i/>
        </w:rPr>
        <w:t>Am J Surg Pathol</w:t>
      </w:r>
      <w:r w:rsidRPr="0076437E">
        <w:t xml:space="preserve"> 2017;41(3):334-42.</w:t>
      </w:r>
      <w:hyperlink r:id="rId20" w:history="1">
        <w:r w:rsidRPr="0076437E">
          <w:rPr>
            <w:rStyle w:val="a7"/>
          </w:rPr>
          <w:t>https://doi.org/10.1097/PAS.0000000000000780</w:t>
        </w:r>
      </w:hyperlink>
    </w:p>
    <w:p w14:paraId="25C14C73" w14:textId="77777777" w:rsidR="00BD27D5" w:rsidRPr="0076437E" w:rsidRDefault="00BD27D5" w:rsidP="00BD27D5">
      <w:pPr>
        <w:pStyle w:val="EndNoteBibliography"/>
      </w:pPr>
      <w:r w:rsidRPr="0076437E">
        <w:t xml:space="preserve">[19] Haragan A, Field JK, Davies MPA, et al. Heterogeneity of PD-L1 expression in non-small cell lung cancer: Implications for specimen sampling in predicting treatment response. </w:t>
      </w:r>
      <w:r w:rsidRPr="0076437E">
        <w:rPr>
          <w:i/>
        </w:rPr>
        <w:t>Lung Cancer</w:t>
      </w:r>
      <w:r w:rsidRPr="0076437E">
        <w:t xml:space="preserve"> 2019;134:79-84.</w:t>
      </w:r>
      <w:hyperlink r:id="rId21" w:history="1">
        <w:r w:rsidRPr="0076437E">
          <w:rPr>
            <w:rStyle w:val="a7"/>
          </w:rPr>
          <w:t>https://doi.org/10.1016/j.lungcan.2019.06.005</w:t>
        </w:r>
      </w:hyperlink>
    </w:p>
    <w:p w14:paraId="039E94B3" w14:textId="77777777" w:rsidR="00BD27D5" w:rsidRPr="0076437E" w:rsidRDefault="00BD27D5" w:rsidP="00BD27D5">
      <w:pPr>
        <w:pStyle w:val="EndNoteBibliography"/>
      </w:pPr>
      <w:r w:rsidRPr="0076437E">
        <w:t xml:space="preserve">[20] Yi M, Jiao D, Xu H, et al. Biomarkers for predicting efficacy of PD-1/PD-L1 inhibitors. </w:t>
      </w:r>
      <w:r w:rsidRPr="0076437E">
        <w:rPr>
          <w:i/>
        </w:rPr>
        <w:t>Mol Cancer</w:t>
      </w:r>
      <w:r w:rsidRPr="0076437E">
        <w:t xml:space="preserve"> 2018;17(1):129.</w:t>
      </w:r>
      <w:hyperlink r:id="rId22" w:history="1">
        <w:r w:rsidRPr="0076437E">
          <w:rPr>
            <w:rStyle w:val="a7"/>
          </w:rPr>
          <w:t>https://doi.org/10.1186/s12943-018-0864-3</w:t>
        </w:r>
      </w:hyperlink>
    </w:p>
    <w:p w14:paraId="75BB3DFD" w14:textId="77777777" w:rsidR="00BD27D5" w:rsidRPr="0076437E" w:rsidRDefault="00BD27D5" w:rsidP="00BD27D5">
      <w:pPr>
        <w:pStyle w:val="EndNoteBibliography"/>
      </w:pPr>
      <w:r w:rsidRPr="0076437E">
        <w:t xml:space="preserve">[21] Gonzalez-Ericsson PI, Stovgaard ES, Sua LF, et al. The path to a better biomarker: application of a risk management framework for the implementation of PD-L1 and TILs as immuno-oncology biomarkers in breast cancer clinical trials and daily practice. </w:t>
      </w:r>
      <w:r w:rsidRPr="0076437E">
        <w:rPr>
          <w:i/>
        </w:rPr>
        <w:t>J Pathol</w:t>
      </w:r>
      <w:r w:rsidRPr="0076437E">
        <w:t xml:space="preserve"> 2020;250(5):667-84.</w:t>
      </w:r>
      <w:hyperlink r:id="rId23" w:history="1">
        <w:r w:rsidRPr="0076437E">
          <w:rPr>
            <w:rStyle w:val="a7"/>
          </w:rPr>
          <w:t>https://doi.org/10.1002/path.5406</w:t>
        </w:r>
      </w:hyperlink>
    </w:p>
    <w:p w14:paraId="2B45FE22" w14:textId="77777777" w:rsidR="00BD27D5" w:rsidRPr="0076437E" w:rsidRDefault="00BD27D5" w:rsidP="00BD27D5">
      <w:pPr>
        <w:pStyle w:val="EndNoteBibliography"/>
      </w:pPr>
      <w:r w:rsidRPr="0076437E">
        <w:t xml:space="preserve">[22] Lien H-C, Lee Y-H, Chen IC, et al. Tumor-infiltrating lymphocyte abundance and programmed death-ligand 1 expression in metaplastic breast carcinoma: implications for distinct immune microenvironments in different metaplastic components. </w:t>
      </w:r>
      <w:r w:rsidRPr="0076437E">
        <w:rPr>
          <w:i/>
        </w:rPr>
        <w:t>Virchows Arch</w:t>
      </w:r>
      <w:r w:rsidRPr="0076437E">
        <w:t xml:space="preserve"> 2021;478(4):669-78.</w:t>
      </w:r>
      <w:hyperlink r:id="rId24" w:history="1">
        <w:r w:rsidRPr="0076437E">
          <w:rPr>
            <w:rStyle w:val="a7"/>
          </w:rPr>
          <w:t>https://doi.org/10.1007/s00428-020-02954-x</w:t>
        </w:r>
      </w:hyperlink>
    </w:p>
    <w:p w14:paraId="3733357E" w14:textId="77777777" w:rsidR="00BD27D5" w:rsidRPr="0076437E" w:rsidRDefault="00BD27D5" w:rsidP="00BD27D5">
      <w:pPr>
        <w:pStyle w:val="EndNoteBibliography"/>
      </w:pPr>
      <w:r w:rsidRPr="0076437E">
        <w:t xml:space="preserve">[23] Isomoto K, Haratani K, Hayashi H, et al. Impact of EGFR-TKI Treatment on the Tumor Immune Microenvironment in Mutation-Positive Non-Small Cell Lung Cancer. </w:t>
      </w:r>
      <w:r w:rsidRPr="0076437E">
        <w:rPr>
          <w:i/>
        </w:rPr>
        <w:t>Clin Cancer Res</w:t>
      </w:r>
      <w:r w:rsidRPr="0076437E">
        <w:t xml:space="preserve"> 2020;26(8):2037-46.</w:t>
      </w:r>
      <w:hyperlink r:id="rId25" w:history="1">
        <w:r w:rsidRPr="0076437E">
          <w:rPr>
            <w:rStyle w:val="a7"/>
          </w:rPr>
          <w:t>https://doi.org/10.1158/1078-0432.CCR-19-2027</w:t>
        </w:r>
      </w:hyperlink>
    </w:p>
    <w:p w14:paraId="3E9B5D32" w14:textId="42980621" w:rsidR="00114EE8" w:rsidRPr="0065134B" w:rsidRDefault="00BD27D5" w:rsidP="00BD27D5">
      <w:pPr>
        <w:spacing w:line="360" w:lineRule="auto"/>
      </w:pPr>
      <w:r>
        <w:rPr>
          <w:rFonts w:ascii="等线" w:eastAsia="等线" w:hAnsi="等线"/>
          <w:noProof/>
          <w:sz w:val="20"/>
        </w:rPr>
        <w:fldChar w:fldCharType="end"/>
      </w:r>
    </w:p>
    <w:sectPr w:rsidR="00114EE8" w:rsidRPr="006513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2A6F0" w14:textId="77777777" w:rsidR="00DC400C" w:rsidRDefault="00DC400C" w:rsidP="00C558E6">
      <w:r>
        <w:separator/>
      </w:r>
    </w:p>
  </w:endnote>
  <w:endnote w:type="continuationSeparator" w:id="0">
    <w:p w14:paraId="6081A095" w14:textId="77777777" w:rsidR="00DC400C" w:rsidRDefault="00DC400C" w:rsidP="00C558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63526" w14:textId="77777777" w:rsidR="00DC400C" w:rsidRDefault="00DC400C" w:rsidP="00C558E6">
      <w:r>
        <w:separator/>
      </w:r>
    </w:p>
  </w:footnote>
  <w:footnote w:type="continuationSeparator" w:id="0">
    <w:p w14:paraId="68576660" w14:textId="77777777" w:rsidR="00DC400C" w:rsidRDefault="00DC400C" w:rsidP="00C558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34B"/>
    <w:rsid w:val="000264B5"/>
    <w:rsid w:val="00114EE8"/>
    <w:rsid w:val="002F757D"/>
    <w:rsid w:val="00410527"/>
    <w:rsid w:val="005C57AE"/>
    <w:rsid w:val="0065134B"/>
    <w:rsid w:val="00854701"/>
    <w:rsid w:val="008C0275"/>
    <w:rsid w:val="00B55770"/>
    <w:rsid w:val="00BD27D5"/>
    <w:rsid w:val="00C45119"/>
    <w:rsid w:val="00C558E6"/>
    <w:rsid w:val="00DC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A21201"/>
  <w15:chartTrackingRefBased/>
  <w15:docId w15:val="{625311AA-B446-4477-BB7E-7AC3BBDE6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achinetrans-lang-zh-cn">
    <w:name w:val="machinetrans-lang-zh-cn"/>
    <w:basedOn w:val="a"/>
    <w:rsid w:val="0065134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C558E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558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558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558E6"/>
    <w:rPr>
      <w:sz w:val="18"/>
      <w:szCs w:val="18"/>
    </w:rPr>
  </w:style>
  <w:style w:type="paragraph" w:customStyle="1" w:styleId="EndNoteBibliography">
    <w:name w:val="EndNote Bibliography"/>
    <w:basedOn w:val="a"/>
    <w:link w:val="EndNoteBibliography0"/>
    <w:rsid w:val="00BD27D5"/>
    <w:rPr>
      <w:rFonts w:ascii="等线" w:eastAsia="等线" w:hAnsi="等线"/>
      <w:noProof/>
      <w:sz w:val="20"/>
    </w:rPr>
  </w:style>
  <w:style w:type="character" w:customStyle="1" w:styleId="EndNoteBibliography0">
    <w:name w:val="EndNote Bibliography 字符"/>
    <w:basedOn w:val="a0"/>
    <w:link w:val="EndNoteBibliography"/>
    <w:rsid w:val="00BD27D5"/>
    <w:rPr>
      <w:rFonts w:ascii="等线" w:eastAsia="等线" w:hAnsi="等线"/>
      <w:noProof/>
      <w:sz w:val="20"/>
    </w:rPr>
  </w:style>
  <w:style w:type="character" w:styleId="a7">
    <w:name w:val="Hyperlink"/>
    <w:basedOn w:val="a0"/>
    <w:uiPriority w:val="99"/>
    <w:unhideWhenUsed/>
    <w:rsid w:val="00BD27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8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3389/fonc.2021.572230" TargetMode="External"/><Relationship Id="rId13" Type="http://schemas.openxmlformats.org/officeDocument/2006/relationships/hyperlink" Target="https://doi.org/10.1080/0284186X.2021.1950927" TargetMode="External"/><Relationship Id="rId18" Type="http://schemas.openxmlformats.org/officeDocument/2006/relationships/hyperlink" Target="https://doi.org/10.1245/s10434-018-6533-3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https://doi.org/10.1016/j.lungcan.2019.06.005" TargetMode="External"/><Relationship Id="rId7" Type="http://schemas.openxmlformats.org/officeDocument/2006/relationships/hyperlink" Target="https://doi.org/10.1038/s41523-021-00302-z" TargetMode="External"/><Relationship Id="rId12" Type="http://schemas.openxmlformats.org/officeDocument/2006/relationships/hyperlink" Target="https://doi.org/10.1245/s10434-014-3890-4" TargetMode="External"/><Relationship Id="rId17" Type="http://schemas.openxmlformats.org/officeDocument/2006/relationships/hyperlink" Target="https://doi.org/10.1097/SLA.0000000000001930" TargetMode="External"/><Relationship Id="rId25" Type="http://schemas.openxmlformats.org/officeDocument/2006/relationships/hyperlink" Target="https://doi.org/10.1158/1078-0432.CCR-19-202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doi.org/10.1371/journal.pone.0131409" TargetMode="External"/><Relationship Id="rId20" Type="http://schemas.openxmlformats.org/officeDocument/2006/relationships/hyperlink" Target="https://doi.org/10.1097/PAS.0000000000000780" TargetMode="External"/><Relationship Id="rId1" Type="http://schemas.openxmlformats.org/officeDocument/2006/relationships/styles" Target="styles.xml"/><Relationship Id="rId6" Type="http://schemas.openxmlformats.org/officeDocument/2006/relationships/hyperlink" Target="https://doi.org/10.1038/nrc3637" TargetMode="External"/><Relationship Id="rId11" Type="http://schemas.openxmlformats.org/officeDocument/2006/relationships/hyperlink" Target="https://doi.org/10.1186/s13058-020-01330-6" TargetMode="External"/><Relationship Id="rId24" Type="http://schemas.openxmlformats.org/officeDocument/2006/relationships/hyperlink" Target="https://doi.org/10.1007/s00428-020-02954-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doi.org/10.1186/1477-7819-11-129" TargetMode="External"/><Relationship Id="rId23" Type="http://schemas.openxmlformats.org/officeDocument/2006/relationships/hyperlink" Target="https://doi.org/10.1002/path.5406" TargetMode="External"/><Relationship Id="rId10" Type="http://schemas.openxmlformats.org/officeDocument/2006/relationships/hyperlink" Target="https://doi.org/10.1136/jclinpath-2016-203874" TargetMode="External"/><Relationship Id="rId19" Type="http://schemas.openxmlformats.org/officeDocument/2006/relationships/hyperlink" Target="https://doi.org/10.1245/s10434-017-6316-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i.org/10.1038/s41416-020-01065-3" TargetMode="External"/><Relationship Id="rId14" Type="http://schemas.openxmlformats.org/officeDocument/2006/relationships/hyperlink" Target="https://doi.org/10.1002/path.5184" TargetMode="External"/><Relationship Id="rId22" Type="http://schemas.openxmlformats.org/officeDocument/2006/relationships/hyperlink" Target="https://doi.org/10.1186/s12943-018-0864-3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5</Pages>
  <Words>1447</Words>
  <Characters>8248</Characters>
  <Application>Microsoft Office Word</Application>
  <DocSecurity>0</DocSecurity>
  <Lines>68</Lines>
  <Paragraphs>19</Paragraphs>
  <ScaleCrop>false</ScaleCrop>
  <Company/>
  <LinksUpToDate>false</LinksUpToDate>
  <CharactersWithSpaces>9676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 楚楚</dc:creator>
  <cp:keywords/>
  <dc:description/>
  <cp:lastModifiedBy>徐 楚楚</cp:lastModifiedBy>
  <cp:revision>6</cp:revision>
  <dcterms:created xsi:type="dcterms:W3CDTF">2021-10-26T13:04:00Z</dcterms:created>
  <dcterms:modified xsi:type="dcterms:W3CDTF">2023-06-08T06:56:00Z</dcterms:modified>
</cp:coreProperties>
</file>