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4105" w14:textId="77777777" w:rsidR="003B1E9B" w:rsidRDefault="003B1E9B" w:rsidP="003B1E9B">
      <w:pPr>
        <w:rPr>
          <w:rFonts w:ascii="Times New Roman" w:eastAsiaTheme="majorEastAsia" w:hAnsi="Times New Roman"/>
          <w:b/>
          <w:bCs/>
          <w:sz w:val="36"/>
          <w:szCs w:val="36"/>
        </w:rPr>
      </w:pPr>
      <w:bookmarkStart w:id="0" w:name="_Hlk111820380"/>
      <w:bookmarkStart w:id="1" w:name="OLE_LINK4"/>
      <w:bookmarkEnd w:id="0"/>
      <w:r>
        <w:rPr>
          <w:rFonts w:ascii="Times New Roman" w:eastAsiaTheme="majorEastAsia" w:hAnsi="Times New Roman" w:hint="eastAsia"/>
          <w:b/>
          <w:bCs/>
          <w:sz w:val="36"/>
          <w:szCs w:val="36"/>
        </w:rPr>
        <w:t>基于双能量</w:t>
      </w:r>
      <w:r>
        <w:rPr>
          <w:rFonts w:ascii="Times New Roman" w:eastAsiaTheme="majorEastAsia" w:hAnsi="Times New Roman"/>
          <w:b/>
          <w:bCs/>
          <w:sz w:val="36"/>
          <w:szCs w:val="36"/>
        </w:rPr>
        <w:t>CT</w:t>
      </w:r>
      <w:r>
        <w:rPr>
          <w:rFonts w:ascii="Times New Roman" w:eastAsiaTheme="majorEastAsia" w:hAnsi="Times New Roman" w:hint="eastAsia"/>
          <w:b/>
          <w:bCs/>
          <w:sz w:val="36"/>
          <w:szCs w:val="36"/>
        </w:rPr>
        <w:t>的列线图术前评估浸润性乳腺癌</w:t>
      </w:r>
      <w:r>
        <w:rPr>
          <w:rFonts w:ascii="Times New Roman" w:eastAsiaTheme="majorEastAsia" w:hAnsi="Times New Roman"/>
          <w:b/>
          <w:bCs/>
          <w:sz w:val="36"/>
          <w:szCs w:val="36"/>
        </w:rPr>
        <w:t>HER-2</w:t>
      </w:r>
      <w:r>
        <w:rPr>
          <w:rFonts w:ascii="Times New Roman" w:eastAsiaTheme="majorEastAsia" w:hAnsi="Times New Roman" w:hint="eastAsia"/>
          <w:b/>
          <w:bCs/>
          <w:sz w:val="36"/>
          <w:szCs w:val="36"/>
        </w:rPr>
        <w:t>状态的价值</w:t>
      </w:r>
    </w:p>
    <w:bookmarkEnd w:id="1"/>
    <w:p w14:paraId="44E51F81" w14:textId="77777777" w:rsidR="003B1E9B" w:rsidRDefault="003B1E9B" w:rsidP="003B1E9B">
      <w:pPr>
        <w:jc w:val="center"/>
        <w:rPr>
          <w:rFonts w:ascii="Times New Roman" w:eastAsia="华文楷体" w:hAnsi="Times New Roman"/>
          <w:szCs w:val="21"/>
        </w:rPr>
      </w:pPr>
    </w:p>
    <w:p w14:paraId="24F67BAB" w14:textId="77777777" w:rsidR="003B1E9B" w:rsidRDefault="003B1E9B" w:rsidP="003B1E9B">
      <w:pPr>
        <w:jc w:val="left"/>
        <w:rPr>
          <w:rFonts w:ascii="Times New Roman" w:eastAsia="华文楷体" w:hAnsi="Times New Roman"/>
          <w:szCs w:val="21"/>
        </w:rPr>
      </w:pPr>
      <w:r>
        <w:rPr>
          <w:rFonts w:ascii="Times New Roman" w:eastAsia="华文楷体" w:hAnsi="Times New Roman" w:hint="eastAsia"/>
          <w:szCs w:val="21"/>
        </w:rPr>
        <w:t>应海峰</w:t>
      </w:r>
      <w:r>
        <w:rPr>
          <w:rFonts w:ascii="Times New Roman" w:eastAsia="华文楷体" w:hAnsi="Times New Roman"/>
          <w:szCs w:val="21"/>
        </w:rPr>
        <w:t xml:space="preserve"> </w:t>
      </w:r>
      <w:r>
        <w:rPr>
          <w:rFonts w:ascii="Times New Roman" w:eastAsia="华文楷体" w:hAnsi="Times New Roman" w:hint="eastAsia"/>
          <w:szCs w:val="21"/>
        </w:rPr>
        <w:t>林桂涵</w:t>
      </w:r>
      <w:r>
        <w:rPr>
          <w:rFonts w:ascii="Times New Roman" w:eastAsia="华文楷体" w:hAnsi="Times New Roman"/>
          <w:szCs w:val="21"/>
          <w:vertAlign w:val="superscript"/>
        </w:rPr>
        <w:t xml:space="preserve"> </w:t>
      </w:r>
      <w:r>
        <w:rPr>
          <w:rFonts w:ascii="Times New Roman" w:eastAsia="华文楷体" w:hAnsi="Times New Roman" w:hint="eastAsia"/>
          <w:szCs w:val="21"/>
        </w:rPr>
        <w:t>陈炜越</w:t>
      </w:r>
      <w:r>
        <w:rPr>
          <w:rFonts w:ascii="Times New Roman" w:eastAsia="华文楷体" w:hAnsi="Times New Roman"/>
          <w:szCs w:val="21"/>
        </w:rPr>
        <w:t xml:space="preserve"> </w:t>
      </w:r>
      <w:r>
        <w:rPr>
          <w:rFonts w:ascii="Times New Roman" w:eastAsia="华文楷体" w:hAnsi="Times New Roman" w:hint="eastAsia"/>
          <w:szCs w:val="21"/>
        </w:rPr>
        <w:t>刘旦</w:t>
      </w:r>
      <w:r>
        <w:rPr>
          <w:rFonts w:ascii="Times New Roman" w:eastAsia="华文楷体" w:hAnsi="Times New Roman"/>
          <w:szCs w:val="21"/>
        </w:rPr>
        <w:t xml:space="preserve"> </w:t>
      </w:r>
      <w:r>
        <w:rPr>
          <w:rFonts w:ascii="Times New Roman" w:eastAsia="华文楷体" w:hAnsi="Times New Roman" w:hint="eastAsia"/>
          <w:szCs w:val="21"/>
        </w:rPr>
        <w:t>陈家骏</w:t>
      </w:r>
      <w:r>
        <w:rPr>
          <w:rFonts w:ascii="Times New Roman" w:eastAsia="华文楷体" w:hAnsi="Times New Roman"/>
          <w:szCs w:val="21"/>
        </w:rPr>
        <w:t xml:space="preserve"> </w:t>
      </w:r>
      <w:r>
        <w:rPr>
          <w:rFonts w:ascii="Times New Roman" w:eastAsia="华文楷体" w:hAnsi="Times New Roman" w:hint="eastAsia"/>
          <w:szCs w:val="21"/>
        </w:rPr>
        <w:t>纪建松</w:t>
      </w:r>
    </w:p>
    <w:p w14:paraId="1EF326DD" w14:textId="2CABC2FD" w:rsidR="003B1E9B" w:rsidRDefault="009B0DDC" w:rsidP="003B1E9B">
      <w:pPr>
        <w:jc w:val="left"/>
        <w:rPr>
          <w:rFonts w:ascii="Times New Roman" w:eastAsia="华文楷体" w:hAnsi="Times New Roman"/>
          <w:szCs w:val="21"/>
        </w:rPr>
      </w:pPr>
      <w:r>
        <w:rPr>
          <w:rFonts w:ascii="Times New Roman" w:eastAsia="华文楷体" w:hAnsi="Times New Roman" w:hint="eastAsia"/>
          <w:szCs w:val="21"/>
        </w:rPr>
        <w:t>丽水市中心医院</w:t>
      </w:r>
      <w:r w:rsidR="003B1E9B">
        <w:rPr>
          <w:rFonts w:ascii="Times New Roman" w:eastAsia="华文楷体" w:hAnsi="Times New Roman"/>
          <w:szCs w:val="21"/>
        </w:rPr>
        <w:t xml:space="preserve"> </w:t>
      </w:r>
      <w:r w:rsidR="003B1E9B">
        <w:rPr>
          <w:rFonts w:ascii="Times New Roman" w:eastAsia="华文楷体" w:hAnsi="Times New Roman" w:hint="eastAsia"/>
          <w:szCs w:val="21"/>
        </w:rPr>
        <w:t>放射科</w:t>
      </w:r>
      <w:r w:rsidR="00AC1EC4">
        <w:rPr>
          <w:rFonts w:ascii="Times New Roman" w:eastAsia="华文楷体" w:hAnsi="Times New Roman" w:hint="eastAsia"/>
          <w:szCs w:val="21"/>
        </w:rPr>
        <w:t xml:space="preserve"> </w:t>
      </w:r>
      <w:r w:rsidR="00AC1EC4">
        <w:rPr>
          <w:rFonts w:ascii="Times New Roman" w:eastAsia="华文楷体" w:hAnsi="Times New Roman"/>
          <w:szCs w:val="21"/>
        </w:rPr>
        <w:t xml:space="preserve"> </w:t>
      </w:r>
      <w:r w:rsidR="003B1E9B">
        <w:rPr>
          <w:rFonts w:ascii="Times New Roman" w:eastAsia="华文楷体" w:hAnsi="Times New Roman"/>
          <w:szCs w:val="21"/>
        </w:rPr>
        <w:t>323000</w:t>
      </w:r>
    </w:p>
    <w:p w14:paraId="7126BAA8" w14:textId="77777777" w:rsidR="003B1E9B" w:rsidRDefault="003B1E9B" w:rsidP="003B1E9B">
      <w:pPr>
        <w:jc w:val="left"/>
        <w:rPr>
          <w:rFonts w:ascii="Times New Roman" w:eastAsia="华文楷体" w:hAnsi="Times New Roman"/>
          <w:szCs w:val="21"/>
        </w:rPr>
      </w:pPr>
      <w:r>
        <w:rPr>
          <w:rFonts w:ascii="Times New Roman" w:eastAsia="华文楷体" w:hAnsi="Times New Roman" w:hint="eastAsia"/>
          <w:szCs w:val="21"/>
        </w:rPr>
        <w:t>通信作者：纪建松，</w:t>
      </w:r>
      <w:r>
        <w:rPr>
          <w:rFonts w:ascii="Times New Roman" w:eastAsia="华文楷体" w:hAnsi="Times New Roman"/>
          <w:szCs w:val="21"/>
        </w:rPr>
        <w:t>Email</w:t>
      </w:r>
      <w:r>
        <w:rPr>
          <w:rFonts w:ascii="Times New Roman" w:eastAsia="华文楷体" w:hAnsi="Times New Roman" w:hint="eastAsia"/>
          <w:szCs w:val="21"/>
        </w:rPr>
        <w:t>：</w:t>
      </w:r>
      <w:hyperlink r:id="rId4" w:history="1">
        <w:r>
          <w:rPr>
            <w:rStyle w:val="a3"/>
            <w:rFonts w:ascii="Times New Roman" w:eastAsia="华文楷体" w:hAnsi="Times New Roman"/>
            <w:color w:val="auto"/>
            <w:szCs w:val="21"/>
            <w:u w:val="none"/>
          </w:rPr>
          <w:t>jjstcty@sina.com</w:t>
        </w:r>
      </w:hyperlink>
    </w:p>
    <w:p w14:paraId="75D3BF15" w14:textId="77777777" w:rsidR="003B1E9B" w:rsidRDefault="003B1E9B" w:rsidP="003B1E9B">
      <w:pPr>
        <w:rPr>
          <w:rFonts w:ascii="Times New Roman" w:eastAsia="华文楷体" w:hAnsi="Times New Roman"/>
          <w:szCs w:val="21"/>
        </w:rPr>
      </w:pPr>
    </w:p>
    <w:p w14:paraId="575672CD" w14:textId="77777777" w:rsidR="003B1E9B" w:rsidRDefault="003B1E9B" w:rsidP="003B1E9B">
      <w:pPr>
        <w:spacing w:line="360" w:lineRule="auto"/>
        <w:ind w:firstLineChars="200" w:firstLine="3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bCs/>
          <w:sz w:val="18"/>
          <w:szCs w:val="18"/>
        </w:rPr>
        <w:t>【摘要】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18"/>
          <w:szCs w:val="18"/>
        </w:rPr>
        <w:t>目的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探讨基于双能量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的列线图在乳腺癌人表皮生长因子受体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>HER-2</w:t>
      </w:r>
      <w:r>
        <w:rPr>
          <w:rFonts w:ascii="Times New Roman" w:hAnsi="Times New Roman" w:hint="eastAsia"/>
          <w:sz w:val="18"/>
          <w:szCs w:val="18"/>
        </w:rPr>
        <w:t>）状态术前评估中的应用价值。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18"/>
          <w:szCs w:val="18"/>
        </w:rPr>
        <w:t>资料与方法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回顾性收集</w:t>
      </w:r>
      <w:r>
        <w:rPr>
          <w:rFonts w:ascii="Times New Roman" w:hAnsi="Times New Roman"/>
          <w:sz w:val="18"/>
          <w:szCs w:val="18"/>
        </w:rPr>
        <w:t>2019</w:t>
      </w:r>
      <w:r>
        <w:rPr>
          <w:rFonts w:ascii="Times New Roman" w:hAnsi="Times New Roman" w:hint="eastAsia"/>
          <w:sz w:val="18"/>
          <w:szCs w:val="18"/>
        </w:rPr>
        <w:t>年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月至</w:t>
      </w:r>
      <w:r>
        <w:rPr>
          <w:rFonts w:ascii="Times New Roman" w:hAnsi="Times New Roman"/>
          <w:sz w:val="18"/>
          <w:szCs w:val="18"/>
        </w:rPr>
        <w:t>2021</w:t>
      </w:r>
      <w:r>
        <w:rPr>
          <w:rFonts w:ascii="Times New Roman" w:hAnsi="Times New Roman" w:hint="eastAsia"/>
          <w:sz w:val="18"/>
          <w:szCs w:val="18"/>
        </w:rPr>
        <w:t>年</w:t>
      </w:r>
      <w:r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 w:hint="eastAsia"/>
          <w:sz w:val="18"/>
          <w:szCs w:val="18"/>
        </w:rPr>
        <w:t>月期间在我院经病理证实的乳腺癌患者</w:t>
      </w:r>
      <w:r>
        <w:rPr>
          <w:rFonts w:ascii="Times New Roman" w:hAnsi="Times New Roman"/>
          <w:sz w:val="18"/>
          <w:szCs w:val="18"/>
        </w:rPr>
        <w:t>269</w:t>
      </w:r>
      <w:r>
        <w:rPr>
          <w:rFonts w:ascii="Times New Roman" w:hAnsi="Times New Roman" w:hint="eastAsia"/>
          <w:sz w:val="18"/>
          <w:szCs w:val="18"/>
        </w:rPr>
        <w:t>例，年龄</w:t>
      </w:r>
      <w:r>
        <w:rPr>
          <w:rFonts w:ascii="Times New Roman" w:hAnsi="Times New Roman"/>
          <w:sz w:val="18"/>
          <w:szCs w:val="18"/>
        </w:rPr>
        <w:t>25~84</w:t>
      </w:r>
      <w:r>
        <w:rPr>
          <w:rFonts w:ascii="Times New Roman" w:hAnsi="Times New Roman" w:hint="eastAsia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>51.42±10.96</w:t>
      </w:r>
      <w:r>
        <w:rPr>
          <w:rFonts w:ascii="Times New Roman" w:hAnsi="Times New Roman" w:hint="eastAsia"/>
          <w:sz w:val="18"/>
          <w:szCs w:val="18"/>
        </w:rPr>
        <w:t>）岁，根据病理结果分为</w:t>
      </w:r>
      <w:r>
        <w:rPr>
          <w:rFonts w:ascii="Times New Roman" w:hAnsi="Times New Roman"/>
          <w:sz w:val="18"/>
          <w:szCs w:val="18"/>
        </w:rPr>
        <w:t>HER-2</w:t>
      </w:r>
      <w:r>
        <w:rPr>
          <w:rFonts w:ascii="Times New Roman" w:hAnsi="Times New Roman" w:hint="eastAsia"/>
          <w:sz w:val="18"/>
          <w:szCs w:val="18"/>
        </w:rPr>
        <w:t>阳性组和阴性组。所有患者以</w:t>
      </w:r>
      <w:r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 w:hint="eastAsia"/>
          <w:sz w:val="18"/>
          <w:szCs w:val="18"/>
        </w:rPr>
        <w:t>：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 w:hint="eastAsia"/>
          <w:sz w:val="18"/>
          <w:szCs w:val="18"/>
        </w:rPr>
        <w:t>比例随机分为训练组（</w:t>
      </w:r>
      <w:r>
        <w:rPr>
          <w:rFonts w:ascii="Times New Roman" w:hAnsi="Times New Roman"/>
          <w:sz w:val="18"/>
          <w:szCs w:val="18"/>
        </w:rPr>
        <w:t>189</w:t>
      </w:r>
      <w:r>
        <w:rPr>
          <w:rFonts w:ascii="Times New Roman" w:hAnsi="Times New Roman" w:hint="eastAsia"/>
          <w:sz w:val="18"/>
          <w:szCs w:val="18"/>
        </w:rPr>
        <w:t>例）和验证组（</w:t>
      </w:r>
      <w:r>
        <w:rPr>
          <w:rFonts w:ascii="Times New Roman" w:hAnsi="Times New Roman"/>
          <w:sz w:val="18"/>
          <w:szCs w:val="18"/>
        </w:rPr>
        <w:t>80</w:t>
      </w:r>
      <w:r>
        <w:rPr>
          <w:rFonts w:ascii="Times New Roman" w:hAnsi="Times New Roman" w:hint="eastAsia"/>
          <w:sz w:val="18"/>
          <w:szCs w:val="18"/>
        </w:rPr>
        <w:t>例）。采用</w:t>
      </w:r>
      <w:r>
        <w:rPr>
          <w:rFonts w:ascii="Times New Roman" w:hAnsi="Times New Roman"/>
          <w:sz w:val="18"/>
          <w:szCs w:val="18"/>
        </w:rPr>
        <w:t>Syngo-via</w:t>
      </w:r>
      <w:r>
        <w:rPr>
          <w:rFonts w:ascii="Times New Roman" w:hAnsi="Times New Roman" w:hint="eastAsia"/>
          <w:sz w:val="18"/>
          <w:szCs w:val="18"/>
        </w:rPr>
        <w:t>工作站测量动脉期和静脉期的碘浓度（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 w:hint="eastAsia"/>
          <w:sz w:val="18"/>
          <w:szCs w:val="18"/>
        </w:rPr>
        <w:t>）值、标准化碘浓度（</w:t>
      </w:r>
      <w:r>
        <w:rPr>
          <w:rFonts w:ascii="Times New Roman" w:hAnsi="Times New Roman"/>
          <w:sz w:val="18"/>
          <w:szCs w:val="18"/>
        </w:rPr>
        <w:t>NIC</w:t>
      </w:r>
      <w:r>
        <w:rPr>
          <w:rFonts w:ascii="Times New Roman" w:hAnsi="Times New Roman" w:hint="eastAsia"/>
          <w:sz w:val="18"/>
          <w:szCs w:val="18"/>
        </w:rPr>
        <w:t>）以及能谱曲线斜率（</w:t>
      </w:r>
      <w:r>
        <w:rPr>
          <w:rFonts w:ascii="Times New Roman" w:hAnsi="Times New Roman"/>
          <w:sz w:val="18"/>
          <w:szCs w:val="18"/>
        </w:rPr>
        <w:t>λ</w:t>
      </w:r>
      <w:r>
        <w:rPr>
          <w:rFonts w:ascii="Times New Roman" w:hAnsi="Times New Roman"/>
          <w:sz w:val="18"/>
          <w:szCs w:val="18"/>
          <w:vertAlign w:val="subscript"/>
        </w:rPr>
        <w:t>HU</w:t>
      </w:r>
      <w:r>
        <w:rPr>
          <w:rFonts w:ascii="Times New Roman" w:hAnsi="Times New Roman" w:hint="eastAsia"/>
          <w:sz w:val="18"/>
          <w:szCs w:val="18"/>
        </w:rPr>
        <w:t>）值，同时收集临床和常规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特征包括年龄、肿瘤最大径、形状、边界以及有无钙化和腋窝淋巴结肿大，比较训练组中</w:t>
      </w:r>
      <w:r>
        <w:rPr>
          <w:rFonts w:ascii="Times New Roman" w:hAnsi="Times New Roman"/>
          <w:sz w:val="18"/>
          <w:szCs w:val="18"/>
        </w:rPr>
        <w:t>HER-2</w:t>
      </w:r>
      <w:r>
        <w:rPr>
          <w:rFonts w:ascii="Times New Roman" w:hAnsi="Times New Roman" w:hint="eastAsia"/>
          <w:sz w:val="18"/>
          <w:szCs w:val="18"/>
        </w:rPr>
        <w:t>阳性和阴性组间临床和常规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特征、双能量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定量参数的差异。</w:t>
      </w:r>
      <w:r>
        <w:rPr>
          <w:rFonts w:ascii="Times New Roman" w:hAnsi="Times New Roman" w:hint="eastAsia"/>
          <w:bCs/>
          <w:kern w:val="0"/>
          <w:sz w:val="18"/>
          <w:szCs w:val="18"/>
        </w:rPr>
        <w:t>使用多因素</w:t>
      </w:r>
      <w:r>
        <w:rPr>
          <w:rFonts w:ascii="Times New Roman" w:hAnsi="Times New Roman"/>
          <w:bCs/>
          <w:kern w:val="0"/>
          <w:sz w:val="18"/>
          <w:szCs w:val="18"/>
        </w:rPr>
        <w:t>Logistic</w:t>
      </w:r>
      <w:r>
        <w:rPr>
          <w:rFonts w:ascii="Times New Roman" w:hAnsi="Times New Roman" w:hint="eastAsia"/>
          <w:bCs/>
          <w:kern w:val="0"/>
          <w:sz w:val="18"/>
          <w:szCs w:val="18"/>
        </w:rPr>
        <w:t>回归分析筛选影响</w:t>
      </w:r>
      <w:r>
        <w:rPr>
          <w:rFonts w:ascii="Times New Roman" w:hAnsi="Times New Roman"/>
          <w:bCs/>
          <w:kern w:val="0"/>
          <w:sz w:val="18"/>
          <w:szCs w:val="18"/>
        </w:rPr>
        <w:t>HER-2</w:t>
      </w:r>
      <w:r>
        <w:rPr>
          <w:rFonts w:ascii="Times New Roman" w:hAnsi="Times New Roman" w:hint="eastAsia"/>
          <w:bCs/>
          <w:kern w:val="0"/>
          <w:sz w:val="18"/>
          <w:szCs w:val="18"/>
        </w:rPr>
        <w:t>状态的独立预测因子，以此构建预测模型并绘制列线图，并在验证组中进行模型的内部验证。根据受试者工作特征（</w:t>
      </w:r>
      <w:r>
        <w:rPr>
          <w:rFonts w:ascii="Times New Roman" w:hAnsi="Times New Roman"/>
          <w:bCs/>
          <w:kern w:val="0"/>
          <w:sz w:val="18"/>
          <w:szCs w:val="18"/>
        </w:rPr>
        <w:t>ROC</w:t>
      </w:r>
      <w:r>
        <w:rPr>
          <w:rFonts w:ascii="Times New Roman" w:hAnsi="Times New Roman" w:hint="eastAsia"/>
          <w:bCs/>
          <w:kern w:val="0"/>
          <w:sz w:val="18"/>
          <w:szCs w:val="18"/>
        </w:rPr>
        <w:t>）曲线下面积</w:t>
      </w:r>
      <w:r>
        <w:rPr>
          <w:rFonts w:ascii="Times New Roman" w:hAnsi="Times New Roman" w:hint="eastAsia"/>
          <w:bCs/>
          <w:kern w:val="0"/>
          <w:sz w:val="18"/>
          <w:szCs w:val="18"/>
          <w:lang w:eastAsia="zh-Hans"/>
        </w:rPr>
        <w:t>（</w:t>
      </w:r>
      <w:r>
        <w:rPr>
          <w:rFonts w:ascii="Times New Roman" w:hAnsi="Times New Roman"/>
          <w:bCs/>
          <w:kern w:val="0"/>
          <w:sz w:val="18"/>
          <w:szCs w:val="18"/>
          <w:lang w:eastAsia="zh-Hans"/>
        </w:rPr>
        <w:t>AUC</w:t>
      </w:r>
      <w:r>
        <w:rPr>
          <w:rFonts w:ascii="Times New Roman" w:hAnsi="Times New Roman" w:hint="eastAsia"/>
          <w:bCs/>
          <w:kern w:val="0"/>
          <w:sz w:val="18"/>
          <w:szCs w:val="18"/>
          <w:lang w:eastAsia="zh-Hans"/>
        </w:rPr>
        <w:t>）</w:t>
      </w:r>
      <w:r>
        <w:rPr>
          <w:rFonts w:ascii="Times New Roman" w:hAnsi="Times New Roman" w:hint="eastAsia"/>
          <w:bCs/>
          <w:kern w:val="0"/>
          <w:sz w:val="18"/>
          <w:szCs w:val="18"/>
        </w:rPr>
        <w:t>、灵敏度和特异度评估列线图模型的诊断性能。使用校准曲线和决策曲线分析（</w:t>
      </w:r>
      <w:r>
        <w:rPr>
          <w:rFonts w:ascii="Times New Roman" w:hAnsi="Times New Roman"/>
          <w:bCs/>
          <w:kern w:val="0"/>
          <w:sz w:val="18"/>
          <w:szCs w:val="18"/>
        </w:rPr>
        <w:t>DCA</w:t>
      </w:r>
      <w:r>
        <w:rPr>
          <w:rFonts w:ascii="Times New Roman" w:hAnsi="Times New Roman" w:hint="eastAsia"/>
          <w:bCs/>
          <w:kern w:val="0"/>
          <w:sz w:val="18"/>
          <w:szCs w:val="18"/>
        </w:rPr>
        <w:t>）评价列线图的稳健性和临床实用性。</w:t>
      </w:r>
      <w:r>
        <w:rPr>
          <w:rFonts w:ascii="Times New Roman" w:hAnsi="Times New Roman"/>
          <w:bCs/>
          <w:kern w:val="0"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kern w:val="0"/>
          <w:sz w:val="18"/>
          <w:szCs w:val="18"/>
        </w:rPr>
        <w:t>结果</w:t>
      </w:r>
      <w:r>
        <w:rPr>
          <w:rFonts w:ascii="Times New Roman" w:hAnsi="Times New Roman"/>
          <w:bCs/>
          <w:kern w:val="0"/>
          <w:sz w:val="18"/>
          <w:szCs w:val="18"/>
        </w:rPr>
        <w:t xml:space="preserve"> </w:t>
      </w:r>
      <w:r>
        <w:rPr>
          <w:rFonts w:ascii="Times New Roman" w:hAnsi="Times New Roman" w:hint="eastAsia"/>
          <w:bCs/>
          <w:kern w:val="0"/>
          <w:sz w:val="18"/>
          <w:szCs w:val="18"/>
        </w:rPr>
        <w:t>常规</w:t>
      </w:r>
      <w:r>
        <w:rPr>
          <w:rFonts w:ascii="Times New Roman" w:hAnsi="Times New Roman"/>
          <w:bCs/>
          <w:kern w:val="0"/>
          <w:sz w:val="18"/>
          <w:szCs w:val="18"/>
        </w:rPr>
        <w:t>CT</w:t>
      </w:r>
      <w:r>
        <w:rPr>
          <w:rFonts w:ascii="Times New Roman" w:hAnsi="Times New Roman" w:hint="eastAsia"/>
          <w:bCs/>
          <w:kern w:val="0"/>
          <w:sz w:val="18"/>
          <w:szCs w:val="18"/>
        </w:rPr>
        <w:t>特征中，肿瘤边界和腋窝淋巴结肿大在两组间差异具有统计学意义（均</w:t>
      </w:r>
      <w:r>
        <w:rPr>
          <w:rFonts w:ascii="Times New Roman" w:hAnsi="Times New Roman"/>
          <w:bCs/>
          <w:i/>
          <w:iCs/>
          <w:kern w:val="0"/>
          <w:sz w:val="18"/>
          <w:szCs w:val="18"/>
        </w:rPr>
        <w:t>P</w:t>
      </w:r>
      <w:r>
        <w:rPr>
          <w:rFonts w:ascii="Times New Roman" w:hAnsi="Times New Roman" w:hint="eastAsia"/>
          <w:sz w:val="18"/>
          <w:szCs w:val="18"/>
        </w:rPr>
        <w:t>＜</w:t>
      </w:r>
      <w:r>
        <w:rPr>
          <w:rFonts w:ascii="Times New Roman" w:hAnsi="Times New Roman"/>
          <w:bCs/>
          <w:kern w:val="0"/>
          <w:sz w:val="18"/>
          <w:szCs w:val="18"/>
        </w:rPr>
        <w:t>0.05</w:t>
      </w:r>
      <w:r>
        <w:rPr>
          <w:rFonts w:ascii="Times New Roman" w:hAnsi="Times New Roman" w:hint="eastAsia"/>
          <w:bCs/>
          <w:kern w:val="0"/>
          <w:sz w:val="18"/>
          <w:szCs w:val="18"/>
        </w:rPr>
        <w:t>）</w:t>
      </w:r>
      <w:r>
        <w:rPr>
          <w:rFonts w:ascii="Times New Roman" w:hAnsi="Times New Roman" w:hint="eastAsia"/>
          <w:sz w:val="18"/>
          <w:szCs w:val="18"/>
        </w:rPr>
        <w:t>。双能量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定量参数中，</w:t>
      </w:r>
      <w:r>
        <w:rPr>
          <w:rFonts w:ascii="Times New Roman" w:hAnsi="Times New Roman"/>
          <w:sz w:val="18"/>
          <w:szCs w:val="18"/>
        </w:rPr>
        <w:t>HER-2</w:t>
      </w:r>
      <w:r>
        <w:rPr>
          <w:rFonts w:ascii="Times New Roman" w:hAnsi="Times New Roman" w:hint="eastAsia"/>
          <w:sz w:val="18"/>
          <w:szCs w:val="18"/>
        </w:rPr>
        <w:t>阳性组乳腺癌原发灶静脉期的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 w:hint="eastAsia"/>
          <w:sz w:val="18"/>
          <w:szCs w:val="18"/>
        </w:rPr>
        <w:t>及</w:t>
      </w:r>
      <w:r>
        <w:rPr>
          <w:rFonts w:ascii="Times New Roman" w:hAnsi="Times New Roman"/>
          <w:sz w:val="18"/>
          <w:szCs w:val="18"/>
        </w:rPr>
        <w:t>NIC</w:t>
      </w:r>
      <w:r>
        <w:rPr>
          <w:rFonts w:ascii="Times New Roman" w:hAnsi="Times New Roman" w:hint="eastAsia"/>
          <w:sz w:val="18"/>
          <w:szCs w:val="18"/>
        </w:rPr>
        <w:t>值显著高于阴性组（均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 w:hint="eastAsia"/>
          <w:sz w:val="18"/>
          <w:szCs w:val="18"/>
        </w:rPr>
        <w:t>＜</w:t>
      </w:r>
      <w:r>
        <w:rPr>
          <w:rFonts w:ascii="Times New Roman" w:hAnsi="Times New Roman"/>
          <w:sz w:val="18"/>
          <w:szCs w:val="18"/>
        </w:rPr>
        <w:t>0.05</w:t>
      </w:r>
      <w:r>
        <w:rPr>
          <w:rFonts w:ascii="Times New Roman" w:hAnsi="Times New Roman" w:hint="eastAsia"/>
          <w:sz w:val="18"/>
          <w:szCs w:val="18"/>
        </w:rPr>
        <w:t>），而</w:t>
      </w:r>
      <w:r>
        <w:rPr>
          <w:rFonts w:ascii="Times New Roman" w:hAnsi="Times New Roman"/>
          <w:sz w:val="18"/>
          <w:szCs w:val="18"/>
        </w:rPr>
        <w:t>λ</w:t>
      </w:r>
      <w:r>
        <w:rPr>
          <w:rFonts w:ascii="Times New Roman" w:hAnsi="Times New Roman"/>
          <w:sz w:val="18"/>
          <w:szCs w:val="18"/>
          <w:vertAlign w:val="subscript"/>
        </w:rPr>
        <w:t>HU</w:t>
      </w:r>
      <w:r>
        <w:rPr>
          <w:rFonts w:ascii="Times New Roman" w:hAnsi="Times New Roman" w:hint="eastAsia"/>
          <w:sz w:val="18"/>
          <w:szCs w:val="18"/>
        </w:rPr>
        <w:t>值在两组间差异无统计学意义（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 w:hint="eastAsia"/>
          <w:sz w:val="18"/>
          <w:szCs w:val="18"/>
        </w:rPr>
        <w:t>＞</w:t>
      </w:r>
      <w:r>
        <w:rPr>
          <w:rFonts w:ascii="Times New Roman" w:hAnsi="Times New Roman"/>
          <w:sz w:val="18"/>
          <w:szCs w:val="18"/>
        </w:rPr>
        <w:t>0.05</w:t>
      </w:r>
      <w:r>
        <w:rPr>
          <w:rFonts w:ascii="Times New Roman" w:hAnsi="Times New Roman" w:hint="eastAsia"/>
          <w:sz w:val="18"/>
          <w:szCs w:val="18"/>
        </w:rPr>
        <w:t>）。多因素</w:t>
      </w:r>
      <w:r>
        <w:rPr>
          <w:rFonts w:ascii="Times New Roman" w:hAnsi="Times New Roman"/>
          <w:sz w:val="18"/>
          <w:szCs w:val="18"/>
        </w:rPr>
        <w:t>logistic</w:t>
      </w:r>
      <w:r>
        <w:rPr>
          <w:rFonts w:ascii="Times New Roman" w:hAnsi="Times New Roman" w:hint="eastAsia"/>
          <w:sz w:val="18"/>
          <w:szCs w:val="18"/>
        </w:rPr>
        <w:t>回归分析结果显示边界模糊、存在腋窝淋巴结肿大、静脉期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 w:hint="eastAsia"/>
          <w:sz w:val="18"/>
          <w:szCs w:val="18"/>
        </w:rPr>
        <w:t>值及静脉期</w:t>
      </w:r>
      <w:r>
        <w:rPr>
          <w:rFonts w:ascii="Times New Roman" w:hAnsi="Times New Roman"/>
          <w:sz w:val="18"/>
          <w:szCs w:val="18"/>
        </w:rPr>
        <w:t>NIC</w:t>
      </w:r>
      <w:r>
        <w:rPr>
          <w:rFonts w:ascii="Times New Roman" w:hAnsi="Times New Roman" w:hint="eastAsia"/>
          <w:sz w:val="18"/>
          <w:szCs w:val="18"/>
        </w:rPr>
        <w:t>值是浸润性乳腺癌</w:t>
      </w:r>
      <w:r>
        <w:rPr>
          <w:rFonts w:ascii="Times New Roman" w:hAnsi="Times New Roman"/>
          <w:sz w:val="18"/>
          <w:szCs w:val="18"/>
        </w:rPr>
        <w:t>HER-2</w:t>
      </w:r>
      <w:r>
        <w:rPr>
          <w:rFonts w:ascii="Times New Roman" w:hAnsi="Times New Roman" w:hint="eastAsia"/>
          <w:sz w:val="18"/>
          <w:szCs w:val="18"/>
        </w:rPr>
        <w:t>状态的独立预测因子。构建的列线图模型在训练组和验证组中的</w:t>
      </w:r>
      <w:r>
        <w:rPr>
          <w:rFonts w:ascii="Times New Roman" w:hAnsi="Times New Roman"/>
          <w:sz w:val="18"/>
          <w:szCs w:val="18"/>
        </w:rPr>
        <w:t>AUC</w:t>
      </w:r>
      <w:r>
        <w:rPr>
          <w:rFonts w:ascii="Times New Roman" w:hAnsi="Times New Roman" w:hint="eastAsia"/>
          <w:sz w:val="18"/>
          <w:szCs w:val="18"/>
        </w:rPr>
        <w:t>分别为</w:t>
      </w:r>
      <w:r>
        <w:rPr>
          <w:rFonts w:ascii="Times New Roman" w:hAnsi="Times New Roman"/>
          <w:sz w:val="18"/>
          <w:szCs w:val="18"/>
        </w:rPr>
        <w:t>0.879</w:t>
      </w:r>
      <w:r>
        <w:rPr>
          <w:rFonts w:ascii="Times New Roman" w:hAnsi="Times New Roman" w:hint="eastAsia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>0.827</w:t>
      </w:r>
      <w:r>
        <w:rPr>
          <w:rFonts w:ascii="Times New Roman" w:hAnsi="Times New Roman" w:hint="eastAsia"/>
          <w:sz w:val="18"/>
          <w:szCs w:val="18"/>
        </w:rPr>
        <w:t>～</w:t>
      </w:r>
      <w:r>
        <w:rPr>
          <w:rFonts w:ascii="Times New Roman" w:hAnsi="Times New Roman"/>
          <w:sz w:val="18"/>
          <w:szCs w:val="18"/>
        </w:rPr>
        <w:t>0.932</w:t>
      </w:r>
      <w:r>
        <w:rPr>
          <w:rFonts w:ascii="Times New Roman" w:hAnsi="Times New Roman" w:hint="eastAsia"/>
          <w:sz w:val="18"/>
          <w:szCs w:val="18"/>
        </w:rPr>
        <w:t>）和</w:t>
      </w:r>
      <w:r>
        <w:rPr>
          <w:rFonts w:ascii="Times New Roman" w:hAnsi="Times New Roman"/>
          <w:sz w:val="18"/>
          <w:szCs w:val="18"/>
        </w:rPr>
        <w:t>0.850</w:t>
      </w:r>
      <w:r>
        <w:rPr>
          <w:rFonts w:ascii="Times New Roman" w:hAnsi="Times New Roman" w:hint="eastAsia"/>
          <w:sz w:val="18"/>
          <w:szCs w:val="18"/>
        </w:rPr>
        <w:t>（</w:t>
      </w:r>
      <w:r>
        <w:rPr>
          <w:rFonts w:ascii="Times New Roman" w:hAnsi="Times New Roman"/>
          <w:sz w:val="18"/>
          <w:szCs w:val="18"/>
        </w:rPr>
        <w:t>0.751</w:t>
      </w:r>
      <w:r>
        <w:rPr>
          <w:rFonts w:ascii="Times New Roman" w:hAnsi="Times New Roman" w:hint="eastAsia"/>
          <w:sz w:val="18"/>
          <w:szCs w:val="18"/>
        </w:rPr>
        <w:t>～</w:t>
      </w:r>
      <w:r>
        <w:rPr>
          <w:rFonts w:ascii="Times New Roman" w:hAnsi="Times New Roman"/>
          <w:sz w:val="18"/>
          <w:szCs w:val="18"/>
        </w:rPr>
        <w:t>0.950</w:t>
      </w:r>
      <w:r>
        <w:rPr>
          <w:rFonts w:ascii="Times New Roman" w:hAnsi="Times New Roman" w:hint="eastAsia"/>
          <w:sz w:val="18"/>
          <w:szCs w:val="18"/>
        </w:rPr>
        <w:t>），校准曲线显示实际结果和预测概率间具有较好的一致性，</w:t>
      </w:r>
      <w:r>
        <w:rPr>
          <w:rFonts w:ascii="Times New Roman" w:hAnsi="Times New Roman"/>
          <w:sz w:val="18"/>
          <w:szCs w:val="18"/>
        </w:rPr>
        <w:t>DCA</w:t>
      </w:r>
      <w:r>
        <w:rPr>
          <w:rFonts w:ascii="Times New Roman" w:hAnsi="Times New Roman" w:hint="eastAsia"/>
          <w:sz w:val="18"/>
          <w:szCs w:val="18"/>
        </w:rPr>
        <w:t>结果表明列线图模型具有较高的临床价值。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18"/>
          <w:szCs w:val="18"/>
        </w:rPr>
        <w:t>结论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基于术前常规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特征和双能量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定量参数构建的列线图模型可以有效预测浸润性乳腺癌患者的</w:t>
      </w:r>
      <w:r>
        <w:rPr>
          <w:rFonts w:ascii="Times New Roman" w:hAnsi="Times New Roman"/>
          <w:sz w:val="18"/>
          <w:szCs w:val="18"/>
        </w:rPr>
        <w:t>HER-2</w:t>
      </w:r>
      <w:r>
        <w:rPr>
          <w:rFonts w:ascii="Times New Roman" w:hAnsi="Times New Roman" w:hint="eastAsia"/>
          <w:sz w:val="18"/>
          <w:szCs w:val="18"/>
        </w:rPr>
        <w:t>状态。</w:t>
      </w:r>
    </w:p>
    <w:p w14:paraId="2A7F0B26" w14:textId="77777777" w:rsidR="003B1E9B" w:rsidRDefault="003B1E9B" w:rsidP="003B1E9B">
      <w:pPr>
        <w:spacing w:line="360" w:lineRule="auto"/>
        <w:ind w:firstLineChars="200" w:firstLine="3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bCs/>
          <w:sz w:val="18"/>
          <w:szCs w:val="18"/>
        </w:rPr>
        <w:t>【关键词】</w:t>
      </w:r>
      <w:r>
        <w:rPr>
          <w:rFonts w:ascii="Times New Roman" w:hAnsi="Times New Roman" w:hint="eastAsia"/>
          <w:sz w:val="18"/>
          <w:szCs w:val="18"/>
        </w:rPr>
        <w:t>乳腺癌；人表皮生长因子受体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；双能量</w:t>
      </w:r>
      <w:r>
        <w:rPr>
          <w:rFonts w:ascii="Times New Roman" w:hAnsi="Times New Roman"/>
          <w:sz w:val="18"/>
          <w:szCs w:val="18"/>
        </w:rPr>
        <w:t>CT</w:t>
      </w:r>
      <w:r>
        <w:rPr>
          <w:rFonts w:ascii="Times New Roman" w:hAnsi="Times New Roman" w:hint="eastAsia"/>
          <w:sz w:val="18"/>
          <w:szCs w:val="18"/>
        </w:rPr>
        <w:t>；定量参数；列线图</w:t>
      </w:r>
    </w:p>
    <w:p w14:paraId="0D90CFA2" w14:textId="77777777" w:rsidR="0046699C" w:rsidRPr="003B1E9B" w:rsidRDefault="0046699C"/>
    <w:sectPr w:rsidR="0046699C" w:rsidRPr="003B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1C"/>
    <w:rsid w:val="003B1E9B"/>
    <w:rsid w:val="0046699C"/>
    <w:rsid w:val="007A781C"/>
    <w:rsid w:val="009B0DDC"/>
    <w:rsid w:val="00A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03D5"/>
  <w15:chartTrackingRefBased/>
  <w15:docId w15:val="{DBEA07EE-1B6A-49F8-B6A3-5B4581B2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E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stcty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 应海峰</dc:creator>
  <cp:keywords/>
  <dc:description/>
  <cp:lastModifiedBy>☺ 应海峰</cp:lastModifiedBy>
  <cp:revision>5</cp:revision>
  <dcterms:created xsi:type="dcterms:W3CDTF">2023-05-17T04:33:00Z</dcterms:created>
  <dcterms:modified xsi:type="dcterms:W3CDTF">2023-05-17T04:37:00Z</dcterms:modified>
</cp:coreProperties>
</file>