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40" w:after="240"/>
        <w:jc w:val="center"/>
        <w:rPr>
          <w:rFonts w:hint="default" w:ascii="Times New Roman" w:hAnsi="Times New Roman" w:eastAsia="宋体" w:cs="Times New Roman"/>
          <w:b/>
          <w:bCs/>
          <w:sz w:val="24"/>
          <w:szCs w:val="24"/>
        </w:rPr>
      </w:pPr>
      <w:bookmarkStart w:id="0" w:name="_Hlk84963559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双能量CT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多参数建模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在</w:t>
      </w:r>
      <w:r>
        <w:rPr>
          <w:rFonts w:hint="eastAsia" w:ascii="Times New Roman" w:hAnsi="Times New Roman" w:cs="Times New Roman"/>
          <w:b/>
          <w:bCs/>
          <w:sz w:val="24"/>
          <w:szCs w:val="24"/>
          <w:lang w:val="en-US" w:eastAsia="zh-CN"/>
        </w:rPr>
        <w:t>术前预测</w:t>
      </w:r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乳腺癌前哨淋巴结转移中</w:t>
      </w:r>
      <w:bookmarkStart w:id="1" w:name="_GoBack"/>
      <w:bookmarkEnd w:id="1"/>
      <w:r>
        <w:rPr>
          <w:rFonts w:hint="default" w:ascii="Times New Roman" w:hAnsi="Times New Roman" w:eastAsia="宋体" w:cs="Times New Roman"/>
          <w:b/>
          <w:bCs/>
          <w:sz w:val="24"/>
          <w:szCs w:val="24"/>
        </w:rPr>
        <w:t>的应用研究</w:t>
      </w:r>
      <w:bookmarkEnd w:id="0"/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sz w:val="21"/>
          <w:szCs w:val="21"/>
        </w:rPr>
        <w:t>【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摘要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】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目的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探讨双能量CT定量参数在预测乳腺癌前哨淋巴结转移的应用价值。 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资料与方法 </w:t>
      </w:r>
      <w:r>
        <w:rPr>
          <w:rFonts w:hint="default" w:ascii="Times New Roman" w:hAnsi="Times New Roman" w:eastAsia="宋体" w:cs="Times New Roman"/>
          <w:sz w:val="21"/>
          <w:szCs w:val="21"/>
        </w:rPr>
        <w:t>回顾性收集2020年3月至2021 年5月期间在本院经手术病理证实为乳腺癌且术前均行双能量CT胸部增强扫描的患者，所有患者均在 Syngo.via后处理工作站Dual Energy模式下得到双能量CT参数。根据病理活检结果将患者分为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SLN阳性</w:t>
      </w:r>
      <w:r>
        <w:rPr>
          <w:rFonts w:hint="default" w:ascii="Times New Roman" w:hAnsi="Times New Roman" w:eastAsia="宋体" w:cs="Times New Roman"/>
          <w:sz w:val="21"/>
          <w:szCs w:val="21"/>
        </w:rPr>
        <w:t>组和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SLN阴性</w:t>
      </w:r>
      <w:r>
        <w:rPr>
          <w:rFonts w:hint="default" w:ascii="Times New Roman" w:hAnsi="Times New Roman" w:eastAsia="宋体" w:cs="Times New Roman"/>
          <w:sz w:val="21"/>
          <w:szCs w:val="21"/>
        </w:rPr>
        <w:t>组，比较两组患者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临床病理特征和</w:t>
      </w:r>
      <w:r>
        <w:rPr>
          <w:rFonts w:hint="default" w:ascii="Times New Roman" w:hAnsi="Times New Roman" w:eastAsia="宋体" w:cs="Times New Roman"/>
          <w:sz w:val="21"/>
          <w:szCs w:val="21"/>
        </w:rPr>
        <w:t>双能量CT定量参数之间的差异。并采用受试者工作特征（receiver operating characteristic，ROC）曲线评估不同CT定量参数和联合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模型</w:t>
      </w:r>
      <w:r>
        <w:rPr>
          <w:rFonts w:hint="default" w:ascii="Times New Roman" w:hAnsi="Times New Roman" w:eastAsia="宋体" w:cs="Times New Roman"/>
          <w:sz w:val="21"/>
          <w:szCs w:val="21"/>
        </w:rPr>
        <w:t>的诊断效能，计算曲线下面积、诊断阈值、</w:t>
      </w:r>
      <w:r>
        <w:rPr>
          <w:rFonts w:hint="eastAsia" w:ascii="Times New Roman" w:hAnsi="Times New Roman" w:cs="Times New Roman"/>
          <w:sz w:val="21"/>
          <w:szCs w:val="21"/>
          <w:lang w:eastAsia="zh-CN"/>
        </w:rPr>
        <w:t>敏感</w:t>
      </w:r>
      <w:r>
        <w:rPr>
          <w:rFonts w:hint="default" w:ascii="Times New Roman" w:hAnsi="Times New Roman" w:eastAsia="宋体" w:cs="Times New Roman"/>
          <w:sz w:val="21"/>
          <w:szCs w:val="21"/>
        </w:rPr>
        <w:t>度、特异度和准确度。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 xml:space="preserve">结果 </w:t>
      </w:r>
      <w:r>
        <w:rPr>
          <w:rFonts w:hint="default" w:ascii="Times New Roman" w:hAnsi="Times New Roman" w:eastAsia="宋体" w:cs="Times New Roman"/>
          <w:sz w:val="21"/>
          <w:szCs w:val="21"/>
        </w:rPr>
        <w:t>共纳入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213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例患者，其中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SLN阳性</w:t>
      </w:r>
      <w:r>
        <w:rPr>
          <w:rFonts w:hint="default" w:ascii="Times New Roman" w:hAnsi="Times New Roman" w:eastAsia="宋体" w:cs="Times New Roman"/>
          <w:sz w:val="21"/>
          <w:szCs w:val="21"/>
        </w:rPr>
        <w:t>组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65</w:t>
      </w:r>
      <w:r>
        <w:rPr>
          <w:rFonts w:hint="default" w:ascii="Times New Roman" w:hAnsi="Times New Roman" w:eastAsia="宋体" w:cs="Times New Roman"/>
          <w:sz w:val="21"/>
          <w:szCs w:val="21"/>
        </w:rPr>
        <w:t>例，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SLN阴组148</w:t>
      </w:r>
      <w:r>
        <w:rPr>
          <w:rFonts w:hint="default" w:ascii="Times New Roman" w:hAnsi="Times New Roman" w:eastAsia="宋体" w:cs="Times New Roman"/>
          <w:sz w:val="21"/>
          <w:szCs w:val="21"/>
        </w:rPr>
        <w:t>例。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多因素 logistic 回归分析显示动脉期原发灶nZ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eff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值&gt;0.718、静脉期NIC值&gt;0.412、</w:t>
      </w:r>
      <w:r>
        <w:rPr>
          <w:rFonts w:hint="default" w:ascii="Times New Roman" w:hAnsi="Times New Roman" w:eastAsia="宋体" w:cs="Times New Roman"/>
          <w:sz w:val="21"/>
          <w:szCs w:val="21"/>
        </w:rPr>
        <w:t>λ</w:t>
      </w:r>
      <w:r>
        <w:rPr>
          <w:rFonts w:hint="default" w:ascii="Times New Roman" w:hAnsi="Times New Roman" w:eastAsia="宋体" w:cs="Times New Roman"/>
          <w:sz w:val="21"/>
          <w:szCs w:val="21"/>
          <w:vertAlign w:val="subscript"/>
        </w:rPr>
        <w:t>Hu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值&gt;3.067及nZ</w:t>
      </w:r>
      <w:r>
        <w:rPr>
          <w:rFonts w:hint="eastAsia" w:ascii="Times New Roman" w:hAnsi="Times New Roman" w:cs="Times New Roman"/>
          <w:sz w:val="21"/>
          <w:szCs w:val="21"/>
          <w:vertAlign w:val="subscript"/>
          <w:lang w:val="en-US" w:eastAsia="zh-CN"/>
        </w:rPr>
        <w:t>eff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>值&gt;0.886为预测SLN阳性的独立危险因素。基于此构建的联合模型AUC为 0.861（95%CI 0.808~0.905），截断值为 0.297，敏感度 80.00%，特异度81.08%。验证组 AUC为 0.853（95%CI 0.796~0.898），敏感度 83.08%，特异度 79.16%。</w:t>
      </w:r>
      <w:r>
        <w:rPr>
          <w:rFonts w:hint="default" w:ascii="Times New Roman" w:hAnsi="Times New Roman" w:eastAsia="宋体" w:cs="Times New Roman"/>
          <w:b/>
          <w:bCs/>
          <w:sz w:val="21"/>
          <w:szCs w:val="21"/>
        </w:rPr>
        <w:t>结论</w:t>
      </w:r>
      <w:r>
        <w:rPr>
          <w:rFonts w:hint="default" w:ascii="Times New Roman" w:hAnsi="Times New Roman" w:eastAsia="宋体" w:cs="Times New Roman"/>
          <w:sz w:val="21"/>
          <w:szCs w:val="21"/>
        </w:rPr>
        <w:t xml:space="preserve"> </w:t>
      </w:r>
      <w:r>
        <w:rPr>
          <w:rFonts w:hint="eastAsia" w:ascii="Times New Roman" w:hAnsi="Times New Roman" w:cs="Times New Roman"/>
          <w:sz w:val="21"/>
          <w:szCs w:val="21"/>
          <w:lang w:val="en-US" w:eastAsia="zh-CN"/>
        </w:rPr>
        <w:t xml:space="preserve"> 基于术前原发灶双能量CT多参数构建的诊断模型</w:t>
      </w:r>
      <w:r>
        <w:rPr>
          <w:rFonts w:hint="default" w:ascii="Times New Roman" w:hAnsi="Times New Roman" w:eastAsia="宋体" w:cs="Times New Roman"/>
          <w:sz w:val="21"/>
          <w:szCs w:val="21"/>
        </w:rPr>
        <w:t>对前哨淋巴结转移情况有着较高的预测价值，可以在一定程度上指导个体化治疗。</w:t>
      </w:r>
    </w:p>
    <w:p>
      <w:pPr>
        <w:widowControl/>
        <w:jc w:val="left"/>
        <w:rPr>
          <w:rFonts w:hint="default" w:ascii="Times New Roman" w:hAnsi="Times New Roman" w:eastAsia="宋体" w:cs="Times New Roman"/>
          <w:sz w:val="21"/>
          <w:szCs w:val="21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【</w:t>
      </w:r>
      <w:r>
        <w:rPr>
          <w:rFonts w:hint="default" w:ascii="Times New Roman" w:hAnsi="Times New Roman" w:eastAsia="宋体" w:cs="Times New Roman"/>
          <w:b/>
          <w:bCs/>
          <w:color w:val="000000"/>
          <w:kern w:val="0"/>
          <w:sz w:val="21"/>
          <w:szCs w:val="21"/>
        </w:rPr>
        <w:t>关键词</w:t>
      </w:r>
      <w:r>
        <w:rPr>
          <w:rFonts w:hint="default" w:ascii="Times New Roman" w:hAnsi="Times New Roman" w:eastAsia="宋体" w:cs="Times New Roman"/>
          <w:color w:val="000000"/>
          <w:kern w:val="0"/>
          <w:sz w:val="21"/>
          <w:szCs w:val="21"/>
        </w:rPr>
        <w:t>】</w:t>
      </w:r>
      <w:r>
        <w:rPr>
          <w:rFonts w:hint="default" w:ascii="Times New Roman" w:hAnsi="Times New Roman" w:eastAsia="宋体" w:cs="Times New Roman"/>
          <w:sz w:val="21"/>
          <w:szCs w:val="21"/>
        </w:rPr>
        <w:t>乳腺癌；双能量CT；定量参数；前哨淋巴结</w:t>
      </w:r>
    </w:p>
    <w:p>
      <w:pPr>
        <w:widowControl/>
        <w:jc w:val="left"/>
        <w:rPr>
          <w:rFonts w:hint="default" w:ascii="Times New Roman" w:hAnsi="Times New Roman" w:eastAsia="宋体" w:cs="Times New Roman"/>
          <w:sz w:val="21"/>
          <w:szCs w:val="21"/>
        </w:rPr>
      </w:pPr>
    </w:p>
    <w:p>
      <w:pPr>
        <w:spacing w:line="360" w:lineRule="auto"/>
        <w:rPr>
          <w:rFonts w:hint="default" w:ascii="Times New Roman" w:hAnsi="Times New Roman" w:eastAsia="宋体" w:cs="Times New Roman"/>
          <w:sz w:val="21"/>
          <w:szCs w:val="21"/>
        </w:rPr>
      </w:pPr>
    </w:p>
    <w:sectPr>
      <w:footerReference r:id="rId3" w:type="default"/>
      <w:pgSz w:w="12240" w:h="15840"/>
      <w:pgMar w:top="1440" w:right="1800" w:bottom="1440" w:left="1800" w:header="720" w:footer="72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2</w:t>
    </w:r>
    <w:r>
      <w:fldChar w:fldCharType="end"/>
    </w:r>
  </w:p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hideSpellingErrors/>
  <w:hideGrammaticalErrors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JiMTJlNjJjNTY2NDk0NzdkNGZiZmQ5NzFlNDM4ODgifQ=="/>
  </w:docVars>
  <w:rsids>
    <w:rsidRoot w:val="00000000"/>
    <w:rsid w:val="3A663C94"/>
    <w:rsid w:val="7C1D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99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qFormat="1" w:unhideWhenUsed="0" w:uiPriority="99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iPriority w:val="1"/>
  </w:style>
  <w:style w:type="table" w:default="1" w:styleId="7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99"/>
    <w:rPr>
      <w:sz w:val="20"/>
      <w:szCs w:val="20"/>
    </w:rPr>
  </w:style>
  <w:style w:type="paragraph" w:styleId="3">
    <w:name w:val="footer"/>
    <w:basedOn w:val="1"/>
    <w:link w:val="14"/>
    <w:qFormat/>
    <w:uiPriority w:val="99"/>
    <w:pPr>
      <w:tabs>
        <w:tab w:val="center" w:pos="4320"/>
        <w:tab w:val="right" w:pos="8640"/>
      </w:tabs>
    </w:pPr>
  </w:style>
  <w:style w:type="paragraph" w:styleId="4">
    <w:name w:val="header"/>
    <w:basedOn w:val="1"/>
    <w:link w:val="13"/>
    <w:qFormat/>
    <w:uiPriority w:val="99"/>
    <w:pPr>
      <w:tabs>
        <w:tab w:val="center" w:pos="4320"/>
        <w:tab w:val="right" w:pos="8640"/>
      </w:tabs>
    </w:pPr>
  </w:style>
  <w:style w:type="paragraph" w:styleId="5">
    <w:name w:val="HTML Preformatted"/>
    <w:basedOn w:val="1"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/>
      <w:kern w:val="0"/>
      <w:sz w:val="24"/>
    </w:rPr>
  </w:style>
  <w:style w:type="paragraph" w:styleId="6">
    <w:name w:val="annotation subject"/>
    <w:basedOn w:val="2"/>
    <w:next w:val="2"/>
    <w:link w:val="17"/>
    <w:qFormat/>
    <w:uiPriority w:val="99"/>
    <w:rPr>
      <w:b/>
      <w:bCs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</w:rPr>
  </w:style>
  <w:style w:type="character" w:styleId="11">
    <w:name w:val="Hyperlink"/>
    <w:qFormat/>
    <w:uiPriority w:val="0"/>
    <w:rPr>
      <w:color w:val="0563C1"/>
      <w:u w:val="single"/>
    </w:rPr>
  </w:style>
  <w:style w:type="character" w:styleId="12">
    <w:name w:val="annotation reference"/>
    <w:basedOn w:val="9"/>
    <w:qFormat/>
    <w:uiPriority w:val="99"/>
    <w:rPr>
      <w:sz w:val="16"/>
      <w:szCs w:val="16"/>
    </w:rPr>
  </w:style>
  <w:style w:type="character" w:customStyle="1" w:styleId="13">
    <w:name w:val="页眉 字符"/>
    <w:basedOn w:val="9"/>
    <w:link w:val="4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character" w:customStyle="1" w:styleId="14">
    <w:name w:val="页脚 字符"/>
    <w:basedOn w:val="9"/>
    <w:link w:val="3"/>
    <w:qFormat/>
    <w:uiPriority w:val="99"/>
    <w:rPr>
      <w:rFonts w:ascii="Calibri" w:hAnsi="Calibri" w:eastAsia="宋体" w:cs="Times New Roman"/>
      <w:kern w:val="2"/>
      <w:sz w:val="21"/>
      <w:szCs w:val="24"/>
    </w:rPr>
  </w:style>
  <w:style w:type="paragraph" w:styleId="15">
    <w:name w:val="List Paragraph"/>
    <w:basedOn w:val="1"/>
    <w:qFormat/>
    <w:uiPriority w:val="34"/>
    <w:pPr>
      <w:ind w:left="720"/>
      <w:contextualSpacing/>
    </w:pPr>
  </w:style>
  <w:style w:type="character" w:customStyle="1" w:styleId="16">
    <w:name w:val="批注文字 字符"/>
    <w:basedOn w:val="9"/>
    <w:link w:val="2"/>
    <w:qFormat/>
    <w:uiPriority w:val="99"/>
    <w:rPr>
      <w:rFonts w:ascii="Calibri" w:hAnsi="Calibri" w:eastAsia="宋体" w:cs="Times New Roman"/>
      <w:kern w:val="2"/>
      <w:sz w:val="20"/>
      <w:szCs w:val="20"/>
    </w:rPr>
  </w:style>
  <w:style w:type="character" w:customStyle="1" w:styleId="17">
    <w:name w:val="批注主题 字符"/>
    <w:basedOn w:val="16"/>
    <w:link w:val="6"/>
    <w:qFormat/>
    <w:uiPriority w:val="99"/>
    <w:rPr>
      <w:rFonts w:ascii="Calibri" w:hAnsi="Calibri" w:eastAsia="宋体" w:cs="Times New Roman"/>
      <w:b/>
      <w:bCs/>
      <w:kern w:val="2"/>
      <w:sz w:val="20"/>
      <w:szCs w:val="20"/>
    </w:rPr>
  </w:style>
  <w:style w:type="paragraph" w:customStyle="1" w:styleId="18">
    <w:name w:val="EndNote Bibliography Title"/>
    <w:basedOn w:val="1"/>
    <w:link w:val="19"/>
    <w:qFormat/>
    <w:uiPriority w:val="0"/>
    <w:pPr>
      <w:jc w:val="center"/>
    </w:pPr>
    <w:rPr>
      <w:rFonts w:cs="Calibri"/>
      <w:sz w:val="20"/>
    </w:rPr>
  </w:style>
  <w:style w:type="character" w:customStyle="1" w:styleId="19">
    <w:name w:val="EndNote Bibliography Title 字符"/>
    <w:basedOn w:val="9"/>
    <w:link w:val="18"/>
    <w:qFormat/>
    <w:uiPriority w:val="0"/>
    <w:rPr>
      <w:rFonts w:ascii="Calibri" w:hAnsi="Calibri" w:cs="Calibri"/>
      <w:kern w:val="2"/>
      <w:szCs w:val="24"/>
    </w:rPr>
  </w:style>
  <w:style w:type="paragraph" w:customStyle="1" w:styleId="20">
    <w:name w:val="EndNote Bibliography"/>
    <w:basedOn w:val="1"/>
    <w:link w:val="21"/>
    <w:qFormat/>
    <w:uiPriority w:val="0"/>
    <w:rPr>
      <w:rFonts w:cs="Calibri"/>
      <w:sz w:val="20"/>
    </w:rPr>
  </w:style>
  <w:style w:type="character" w:customStyle="1" w:styleId="21">
    <w:name w:val="EndNote Bibliography 字符"/>
    <w:basedOn w:val="9"/>
    <w:link w:val="20"/>
    <w:qFormat/>
    <w:uiPriority w:val="0"/>
    <w:rPr>
      <w:rFonts w:ascii="Calibri" w:hAnsi="Calibri" w:cs="Calibri"/>
      <w:kern w:val="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649</Characters>
  <Paragraphs>361</Paragraphs>
  <TotalTime>5</TotalTime>
  <ScaleCrop>false</ScaleCrop>
  <LinksUpToDate>false</LinksUpToDate>
  <CharactersWithSpaces>673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2021-10-09T03:48:00Z</dcterms:created>
  <dc:creator>Tao, Ying</dc:creator>
  <cp:keywords>C_Unrestricted</cp:keywords>
  <cp:lastModifiedBy>我能给你啥</cp:lastModifiedBy>
  <dcterms:modified xsi:type="dcterms:W3CDTF">2023-07-08T06:36:05Z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 Confidentiality">
    <vt:lpwstr>Unrestricted</vt:lpwstr>
  </property>
  <property fmtid="{D5CDD505-2E9C-101B-9397-08002B2CF9AE}" pid="3" name="Document_Confidentiality">
    <vt:lpwstr>Unrestricted</vt:lpwstr>
  </property>
  <property fmtid="{D5CDD505-2E9C-101B-9397-08002B2CF9AE}" pid="4" name="sodocoClasLang">
    <vt:lpwstr>Unrestricted</vt:lpwstr>
  </property>
  <property fmtid="{D5CDD505-2E9C-101B-9397-08002B2CF9AE}" pid="5" name="sodocoClasLangId">
    <vt:i4>0</vt:i4>
  </property>
  <property fmtid="{D5CDD505-2E9C-101B-9397-08002B2CF9AE}" pid="6" name="sodocoClasId">
    <vt:i4>0</vt:i4>
  </property>
  <property fmtid="{D5CDD505-2E9C-101B-9397-08002B2CF9AE}" pid="7" name="KSOProductBuildVer">
    <vt:lpwstr>2052-11.1.0.14309</vt:lpwstr>
  </property>
  <property fmtid="{D5CDD505-2E9C-101B-9397-08002B2CF9AE}" pid="8" name="ICV">
    <vt:lpwstr>EE0E0ADEBEE946B5B5DEA2D55B15C4FE_13</vt:lpwstr>
  </property>
</Properties>
</file>