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0" w:after="240"/>
        <w:jc w:val="center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 w:eastAsia="仿宋"/>
          <w:b/>
          <w:bCs/>
          <w:sz w:val="24"/>
          <w:szCs w:val="24"/>
        </w:rPr>
        <w:t>双能量CT碘图成像对乳腺癌新辅助化疗整体疗效评价的临床应用研究</w:t>
      </w:r>
      <w:bookmarkStart w:id="0" w:name="_GoBack"/>
      <w:bookmarkEnd w:id="0"/>
    </w:p>
    <w:p>
      <w:pPr>
        <w:spacing w:line="360" w:lineRule="auto"/>
        <w:rPr>
          <w:rFonts w:ascii="Times New Roman" w:hAnsi="Times New Roman" w:eastAsia="仿宋"/>
          <w:sz w:val="24"/>
        </w:rPr>
      </w:pPr>
      <w:r>
        <w:rPr>
          <w:rFonts w:ascii="Times New Roman" w:hAnsi="Times New Roman" w:eastAsia="仿宋"/>
          <w:b/>
          <w:bCs/>
          <w:sz w:val="24"/>
        </w:rPr>
        <w:t>目的：</w:t>
      </w:r>
      <w:r>
        <w:rPr>
          <w:rFonts w:ascii="Times New Roman" w:hAnsi="Times New Roman" w:eastAsia="仿宋"/>
          <w:sz w:val="24"/>
        </w:rPr>
        <w:t>探究双能量CT碘图成像</w:t>
      </w:r>
      <w:r>
        <w:rPr>
          <w:rFonts w:hint="eastAsia" w:ascii="Times New Roman" w:hAnsi="Times New Roman" w:eastAsia="仿宋"/>
          <w:sz w:val="24"/>
        </w:rPr>
        <w:t>对乳腺癌新辅助化疗整体疗效评价的临床应用</w:t>
      </w:r>
      <w:r>
        <w:rPr>
          <w:rFonts w:ascii="Times New Roman" w:hAnsi="Times New Roman" w:eastAsia="仿宋"/>
          <w:sz w:val="24"/>
        </w:rPr>
        <w:t>价值。</w:t>
      </w:r>
      <w:r>
        <w:rPr>
          <w:rFonts w:ascii="Times New Roman" w:hAnsi="Times New Roman" w:eastAsia="仿宋"/>
          <w:b/>
          <w:bCs/>
          <w:sz w:val="24"/>
        </w:rPr>
        <w:t>方法：</w:t>
      </w:r>
      <w:r>
        <w:rPr>
          <w:rFonts w:ascii="Times New Roman" w:hAnsi="Times New Roman" w:eastAsia="仿宋"/>
          <w:sz w:val="24"/>
        </w:rPr>
        <w:t>回顾性地选取2019年4月至2020年12月，在我院收治的58例乳腺癌患者。所有患者在新辅助化疗（Neoadjuvant Chemotherapy, NAC）前后均采用双能量CT胸部增强扫描。根据RECIST1.1标准将患者分为有效组和无效组，记录NAC前后病灶的最大径及动、静脉期碘浓度，并计算</w:t>
      </w:r>
      <w:r>
        <w:rPr>
          <w:rFonts w:hint="eastAsia" w:ascii="Times New Roman" w:hAnsi="Times New Roman" w:eastAsia="仿宋"/>
          <w:sz w:val="24"/>
        </w:rPr>
        <w:t>变化</w:t>
      </w:r>
      <w:r>
        <w:rPr>
          <w:rFonts w:ascii="Times New Roman" w:hAnsi="Times New Roman" w:eastAsia="仿宋"/>
          <w:sz w:val="24"/>
        </w:rPr>
        <w:t>率。</w:t>
      </w:r>
      <w:r>
        <w:rPr>
          <w:rFonts w:ascii="Times New Roman" w:hAnsi="Times New Roman" w:eastAsia="仿宋"/>
          <w:b/>
          <w:bCs/>
          <w:sz w:val="24"/>
        </w:rPr>
        <w:t>结果：</w:t>
      </w:r>
      <w:r>
        <w:rPr>
          <w:rFonts w:ascii="Times New Roman" w:hAnsi="Times New Roman" w:eastAsia="仿宋"/>
          <w:sz w:val="24"/>
        </w:rPr>
        <w:t>有效组NAC后病灶最大径为（</w:t>
      </w:r>
      <w:r>
        <w:rPr>
          <w:rFonts w:hint="eastAsia" w:ascii="Times New Roman" w:hAnsi="Times New Roman" w:eastAsia="仿宋"/>
          <w:sz w:val="24"/>
        </w:rPr>
        <w:t>2.73</w:t>
      </w:r>
      <w:r>
        <w:rPr>
          <w:rFonts w:ascii="Times New Roman" w:hAnsi="Times New Roman" w:eastAsia="仿宋"/>
          <w:sz w:val="24"/>
        </w:rPr>
        <w:t>±</w:t>
      </w:r>
      <w:r>
        <w:rPr>
          <w:rFonts w:hint="eastAsia" w:ascii="Times New Roman" w:hAnsi="Times New Roman" w:eastAsia="仿宋"/>
          <w:sz w:val="24"/>
        </w:rPr>
        <w:t>0.89</w:t>
      </w:r>
      <w:r>
        <w:rPr>
          <w:rFonts w:ascii="Times New Roman" w:hAnsi="Times New Roman" w:eastAsia="仿宋"/>
          <w:sz w:val="24"/>
        </w:rPr>
        <w:t>）mm，动、静脉期病灶的碘浓度分别为（</w:t>
      </w:r>
      <w:r>
        <w:rPr>
          <w:rFonts w:hint="eastAsia" w:ascii="Times New Roman" w:hAnsi="Times New Roman" w:eastAsia="仿宋"/>
          <w:sz w:val="24"/>
        </w:rPr>
        <w:t>1.09</w:t>
      </w:r>
      <w:r>
        <w:rPr>
          <w:rFonts w:ascii="Times New Roman" w:hAnsi="Times New Roman" w:eastAsia="仿宋"/>
          <w:sz w:val="24"/>
        </w:rPr>
        <w:t>±0.</w:t>
      </w:r>
      <w:r>
        <w:rPr>
          <w:rFonts w:hint="eastAsia" w:ascii="Times New Roman" w:hAnsi="Times New Roman" w:eastAsia="仿宋"/>
          <w:sz w:val="24"/>
        </w:rPr>
        <w:t>32</w:t>
      </w:r>
      <w:r>
        <w:rPr>
          <w:rFonts w:ascii="Times New Roman" w:hAnsi="Times New Roman" w:eastAsia="仿宋"/>
          <w:sz w:val="24"/>
        </w:rPr>
        <w:t>）mg/mL、（</w:t>
      </w:r>
      <w:r>
        <w:rPr>
          <w:rFonts w:hint="eastAsia" w:ascii="Times New Roman" w:hAnsi="Times New Roman" w:eastAsia="仿宋"/>
          <w:sz w:val="24"/>
        </w:rPr>
        <w:t>1</w:t>
      </w:r>
      <w:r>
        <w:rPr>
          <w:rFonts w:ascii="Times New Roman" w:hAnsi="Times New Roman" w:eastAsia="仿宋"/>
          <w:sz w:val="24"/>
        </w:rPr>
        <w:t>.3</w:t>
      </w:r>
      <w:r>
        <w:rPr>
          <w:rFonts w:hint="eastAsia" w:ascii="Times New Roman" w:hAnsi="Times New Roman" w:eastAsia="仿宋"/>
          <w:sz w:val="24"/>
        </w:rPr>
        <w:t>5</w:t>
      </w:r>
      <w:r>
        <w:rPr>
          <w:rFonts w:ascii="Times New Roman" w:hAnsi="Times New Roman" w:eastAsia="仿宋"/>
          <w:sz w:val="24"/>
        </w:rPr>
        <w:t>±0.</w:t>
      </w:r>
      <w:r>
        <w:rPr>
          <w:rFonts w:hint="eastAsia" w:ascii="Times New Roman" w:hAnsi="Times New Roman" w:eastAsia="仿宋"/>
          <w:sz w:val="24"/>
        </w:rPr>
        <w:t>33</w:t>
      </w:r>
      <w:r>
        <w:rPr>
          <w:rFonts w:ascii="Times New Roman" w:hAnsi="Times New Roman" w:eastAsia="仿宋"/>
          <w:sz w:val="24"/>
        </w:rPr>
        <w:t>）mg/mL</w:t>
      </w:r>
      <w:r>
        <w:rPr>
          <w:rFonts w:hint="eastAsia" w:ascii="Times New Roman" w:hAnsi="Times New Roman" w:eastAsia="仿宋"/>
          <w:sz w:val="24"/>
        </w:rPr>
        <w:t>；</w:t>
      </w:r>
      <w:r>
        <w:rPr>
          <w:rFonts w:ascii="Times New Roman" w:hAnsi="Times New Roman" w:eastAsia="仿宋"/>
          <w:sz w:val="24"/>
        </w:rPr>
        <w:t>无效组NAC后病灶最大径为（4.</w:t>
      </w:r>
      <w:r>
        <w:rPr>
          <w:rFonts w:hint="eastAsia" w:ascii="Times New Roman" w:hAnsi="Times New Roman" w:eastAsia="仿宋"/>
          <w:sz w:val="24"/>
        </w:rPr>
        <w:t>62</w:t>
      </w:r>
      <w:r>
        <w:rPr>
          <w:rFonts w:ascii="Times New Roman" w:hAnsi="Times New Roman" w:eastAsia="仿宋"/>
          <w:sz w:val="24"/>
        </w:rPr>
        <w:t>±</w:t>
      </w:r>
      <w:r>
        <w:rPr>
          <w:rFonts w:hint="eastAsia" w:ascii="Times New Roman" w:hAnsi="Times New Roman" w:eastAsia="仿宋"/>
          <w:sz w:val="24"/>
        </w:rPr>
        <w:t>1.03</w:t>
      </w:r>
      <w:r>
        <w:rPr>
          <w:rFonts w:ascii="Times New Roman" w:hAnsi="Times New Roman" w:eastAsia="仿宋"/>
          <w:sz w:val="24"/>
        </w:rPr>
        <w:t>）mm，动、静脉期病灶的碘浓度分别为（</w:t>
      </w:r>
      <w:r>
        <w:rPr>
          <w:rFonts w:hint="eastAsia" w:ascii="Times New Roman" w:hAnsi="Times New Roman" w:eastAsia="仿宋"/>
          <w:sz w:val="24"/>
        </w:rPr>
        <w:t>1.54</w:t>
      </w:r>
      <w:r>
        <w:rPr>
          <w:rFonts w:ascii="Times New Roman" w:hAnsi="Times New Roman" w:eastAsia="仿宋"/>
          <w:sz w:val="24"/>
        </w:rPr>
        <w:t>±0.</w:t>
      </w:r>
      <w:r>
        <w:rPr>
          <w:rFonts w:hint="eastAsia" w:ascii="Times New Roman" w:hAnsi="Times New Roman" w:eastAsia="仿宋"/>
          <w:sz w:val="24"/>
        </w:rPr>
        <w:t>39</w:t>
      </w:r>
      <w:r>
        <w:rPr>
          <w:rFonts w:ascii="Times New Roman" w:hAnsi="Times New Roman" w:eastAsia="仿宋"/>
          <w:sz w:val="24"/>
        </w:rPr>
        <w:t>）mg/mL、（</w:t>
      </w:r>
      <w:r>
        <w:rPr>
          <w:rFonts w:hint="eastAsia" w:ascii="Times New Roman" w:hAnsi="Times New Roman" w:eastAsia="仿宋"/>
          <w:sz w:val="24"/>
        </w:rPr>
        <w:t>1.35</w:t>
      </w:r>
      <w:r>
        <w:rPr>
          <w:rFonts w:ascii="Times New Roman" w:hAnsi="Times New Roman" w:eastAsia="仿宋"/>
          <w:sz w:val="24"/>
        </w:rPr>
        <w:t>±0.</w:t>
      </w:r>
      <w:r>
        <w:rPr>
          <w:rFonts w:hint="eastAsia" w:ascii="Times New Roman" w:hAnsi="Times New Roman" w:eastAsia="仿宋"/>
          <w:sz w:val="24"/>
        </w:rPr>
        <w:t>33</w:t>
      </w:r>
      <w:r>
        <w:rPr>
          <w:rFonts w:ascii="Times New Roman" w:hAnsi="Times New Roman" w:eastAsia="仿宋"/>
          <w:sz w:val="24"/>
        </w:rPr>
        <w:t>）mg/mL。比较NAC前后</w:t>
      </w:r>
      <w:r>
        <w:rPr>
          <w:rFonts w:hint="eastAsia" w:ascii="Times New Roman" w:hAnsi="Times New Roman" w:eastAsia="仿宋"/>
          <w:sz w:val="24"/>
        </w:rPr>
        <w:t>两组</w:t>
      </w:r>
      <w:r>
        <w:rPr>
          <w:rFonts w:ascii="Times New Roman" w:hAnsi="Times New Roman" w:eastAsia="仿宋"/>
          <w:sz w:val="24"/>
        </w:rPr>
        <w:t>病灶</w:t>
      </w:r>
      <w:r>
        <w:rPr>
          <w:rFonts w:hint="eastAsia" w:ascii="Times New Roman" w:hAnsi="Times New Roman" w:eastAsia="仿宋"/>
          <w:sz w:val="24"/>
        </w:rPr>
        <w:t>碘浓度的</w:t>
      </w:r>
      <w:r>
        <w:rPr>
          <w:rFonts w:ascii="Times New Roman" w:hAnsi="Times New Roman" w:eastAsia="仿宋"/>
          <w:sz w:val="24"/>
        </w:rPr>
        <w:t>变化</w:t>
      </w:r>
      <w:r>
        <w:rPr>
          <w:rFonts w:hint="eastAsia" w:ascii="Times New Roman" w:hAnsi="Times New Roman" w:eastAsia="仿宋"/>
          <w:sz w:val="24"/>
        </w:rPr>
        <w:t>率</w:t>
      </w:r>
      <w:r>
        <w:rPr>
          <w:rFonts w:ascii="Times New Roman" w:hAnsi="Times New Roman" w:eastAsia="仿宋"/>
          <w:sz w:val="24"/>
        </w:rPr>
        <w:t>，</w:t>
      </w:r>
      <w:r>
        <w:rPr>
          <w:rFonts w:hint="eastAsia" w:ascii="Times New Roman" w:hAnsi="Times New Roman" w:eastAsia="仿宋"/>
          <w:sz w:val="24"/>
        </w:rPr>
        <w:t>有效组</w:t>
      </w:r>
      <w:r>
        <w:rPr>
          <w:rFonts w:ascii="Times New Roman" w:hAnsi="Times New Roman" w:eastAsia="仿宋"/>
          <w:sz w:val="24"/>
        </w:rPr>
        <w:t>动脉期</w:t>
      </w:r>
      <w:r>
        <w:rPr>
          <w:rFonts w:hint="eastAsia" w:ascii="Times New Roman" w:hAnsi="Times New Roman" w:eastAsia="仿宋"/>
          <w:sz w:val="24"/>
        </w:rPr>
        <w:t>（</w:t>
      </w:r>
      <w:r>
        <w:rPr>
          <w:rFonts w:hint="eastAsia" w:ascii="Times New Roman" w:hAnsi="Times New Roman" w:eastAsia="仿宋"/>
          <w:color w:val="000000"/>
          <w:sz w:val="24"/>
        </w:rPr>
        <w:t>-</w:t>
      </w:r>
      <w:r>
        <w:rPr>
          <w:rFonts w:ascii="Times New Roman" w:hAnsi="Times New Roman" w:eastAsia="仿宋"/>
          <w:color w:val="000000"/>
          <w:sz w:val="24"/>
        </w:rPr>
        <w:t>30.32</w:t>
      </w:r>
      <w:r>
        <w:rPr>
          <w:rFonts w:hint="eastAsia" w:ascii="Times New Roman" w:hAnsi="Times New Roman" w:eastAsia="仿宋"/>
          <w:color w:val="000000"/>
          <w:sz w:val="24"/>
        </w:rPr>
        <w:t>±8</w:t>
      </w:r>
      <w:r>
        <w:rPr>
          <w:rFonts w:ascii="Times New Roman" w:hAnsi="Times New Roman" w:eastAsia="仿宋"/>
          <w:color w:val="000000"/>
          <w:sz w:val="24"/>
        </w:rPr>
        <w:t>.04</w:t>
      </w:r>
      <w:r>
        <w:rPr>
          <w:rFonts w:hint="eastAsia" w:ascii="Times New Roman" w:hAnsi="Times New Roman" w:eastAsia="仿宋"/>
          <w:color w:val="000000"/>
          <w:sz w:val="24"/>
        </w:rPr>
        <w:t>%</w:t>
      </w:r>
      <w:r>
        <w:rPr>
          <w:rFonts w:hint="eastAsia" w:ascii="Times New Roman" w:hAnsi="Times New Roman" w:eastAsia="仿宋"/>
          <w:sz w:val="24"/>
        </w:rPr>
        <w:t>）</w:t>
      </w:r>
      <w:r>
        <w:rPr>
          <w:rFonts w:ascii="Times New Roman" w:hAnsi="Times New Roman" w:eastAsia="仿宋"/>
          <w:sz w:val="24"/>
        </w:rPr>
        <w:t>大于无效组的</w:t>
      </w:r>
      <w:r>
        <w:rPr>
          <w:rFonts w:hint="eastAsia" w:ascii="Times New Roman" w:hAnsi="Times New Roman" w:eastAsia="仿宋"/>
          <w:color w:val="000000"/>
          <w:sz w:val="24"/>
        </w:rPr>
        <w:t>（-</w:t>
      </w:r>
      <w:r>
        <w:rPr>
          <w:rFonts w:ascii="Times New Roman" w:hAnsi="Times New Roman" w:eastAsia="仿宋"/>
          <w:color w:val="000000"/>
          <w:sz w:val="24"/>
        </w:rPr>
        <w:t>12.22</w:t>
      </w:r>
      <w:r>
        <w:rPr>
          <w:rFonts w:hint="eastAsia" w:ascii="Times New Roman" w:hAnsi="Times New Roman" w:eastAsia="仿宋"/>
          <w:color w:val="000000"/>
          <w:sz w:val="24"/>
        </w:rPr>
        <w:t>±</w:t>
      </w:r>
      <w:r>
        <w:rPr>
          <w:rFonts w:ascii="Times New Roman" w:hAnsi="Times New Roman" w:eastAsia="仿宋"/>
          <w:color w:val="000000"/>
          <w:sz w:val="24"/>
        </w:rPr>
        <w:t>6.21</w:t>
      </w:r>
      <w:r>
        <w:rPr>
          <w:rFonts w:hint="eastAsia" w:ascii="Times New Roman" w:hAnsi="Times New Roman" w:eastAsia="仿宋"/>
          <w:color w:val="000000"/>
          <w:sz w:val="24"/>
        </w:rPr>
        <w:t>%）</w:t>
      </w:r>
      <w:r>
        <w:rPr>
          <w:rFonts w:ascii="Times New Roman" w:hAnsi="Times New Roman" w:eastAsia="仿宋"/>
          <w:sz w:val="24"/>
        </w:rPr>
        <w:t>，有统计学差异（P ＜0.05）；</w:t>
      </w:r>
      <w:r>
        <w:rPr>
          <w:rFonts w:hint="eastAsia" w:ascii="Times New Roman" w:hAnsi="Times New Roman" w:eastAsia="仿宋"/>
          <w:sz w:val="24"/>
        </w:rPr>
        <w:t>两组</w:t>
      </w:r>
      <w:r>
        <w:rPr>
          <w:rFonts w:ascii="Times New Roman" w:hAnsi="Times New Roman" w:eastAsia="仿宋"/>
          <w:sz w:val="24"/>
        </w:rPr>
        <w:t>静脉期</w:t>
      </w:r>
      <w:r>
        <w:rPr>
          <w:rFonts w:hint="eastAsia" w:ascii="Times New Roman" w:hAnsi="Times New Roman" w:eastAsia="仿宋"/>
          <w:sz w:val="24"/>
        </w:rPr>
        <w:t>变化率分别为（</w:t>
      </w:r>
      <w:r>
        <w:rPr>
          <w:rFonts w:hint="eastAsia" w:ascii="Times New Roman" w:hAnsi="Times New Roman" w:eastAsia="仿宋"/>
          <w:color w:val="000000"/>
          <w:sz w:val="24"/>
        </w:rPr>
        <w:t>-</w:t>
      </w:r>
      <w:r>
        <w:rPr>
          <w:rFonts w:ascii="Times New Roman" w:hAnsi="Times New Roman" w:eastAsia="仿宋"/>
          <w:color w:val="000000"/>
          <w:sz w:val="24"/>
        </w:rPr>
        <w:t>15.78</w:t>
      </w:r>
      <w:r>
        <w:rPr>
          <w:rFonts w:hint="eastAsia" w:ascii="Times New Roman" w:hAnsi="Times New Roman" w:eastAsia="仿宋"/>
          <w:color w:val="000000"/>
          <w:sz w:val="24"/>
        </w:rPr>
        <w:t>±</w:t>
      </w:r>
      <w:r>
        <w:rPr>
          <w:rFonts w:ascii="Times New Roman" w:hAnsi="Times New Roman" w:eastAsia="仿宋"/>
          <w:color w:val="000000"/>
          <w:sz w:val="24"/>
        </w:rPr>
        <w:t>5.40</w:t>
      </w:r>
      <w:r>
        <w:rPr>
          <w:rFonts w:hint="eastAsia" w:ascii="Times New Roman" w:hAnsi="Times New Roman" w:eastAsia="仿宋"/>
          <w:color w:val="000000"/>
          <w:sz w:val="24"/>
        </w:rPr>
        <w:t>%</w:t>
      </w:r>
      <w:r>
        <w:rPr>
          <w:rFonts w:hint="eastAsia" w:ascii="Times New Roman" w:hAnsi="Times New Roman" w:eastAsia="仿宋"/>
          <w:sz w:val="24"/>
        </w:rPr>
        <w:t>）</w:t>
      </w:r>
      <w:r>
        <w:rPr>
          <w:rFonts w:hint="eastAsia" w:ascii="Times New Roman" w:hAnsi="Times New Roman" w:eastAsia="仿宋"/>
          <w:color w:val="000000"/>
          <w:sz w:val="24"/>
        </w:rPr>
        <w:t>，（-</w:t>
      </w:r>
      <w:r>
        <w:rPr>
          <w:rFonts w:ascii="Times New Roman" w:hAnsi="Times New Roman" w:eastAsia="仿宋"/>
          <w:color w:val="000000"/>
          <w:sz w:val="24"/>
        </w:rPr>
        <w:t>13.73</w:t>
      </w:r>
      <w:r>
        <w:rPr>
          <w:rFonts w:hint="eastAsia" w:ascii="Times New Roman" w:hAnsi="Times New Roman" w:eastAsia="仿宋"/>
          <w:color w:val="000000"/>
          <w:sz w:val="24"/>
        </w:rPr>
        <w:t>±</w:t>
      </w:r>
      <w:r>
        <w:rPr>
          <w:rFonts w:ascii="Times New Roman" w:hAnsi="Times New Roman" w:eastAsia="仿宋"/>
          <w:color w:val="000000"/>
          <w:sz w:val="24"/>
        </w:rPr>
        <w:t>7.21</w:t>
      </w:r>
      <w:r>
        <w:rPr>
          <w:rFonts w:hint="eastAsia" w:ascii="Times New Roman" w:hAnsi="Times New Roman" w:eastAsia="仿宋"/>
          <w:color w:val="000000"/>
          <w:sz w:val="24"/>
        </w:rPr>
        <w:t>%）</w:t>
      </w:r>
      <w:r>
        <w:rPr>
          <w:rFonts w:ascii="Times New Roman" w:hAnsi="Times New Roman" w:eastAsia="仿宋"/>
          <w:sz w:val="24"/>
        </w:rPr>
        <w:t>，无统计学差异（P=0.</w:t>
      </w:r>
      <w:r>
        <w:rPr>
          <w:rFonts w:hint="eastAsia" w:ascii="Times New Roman" w:hAnsi="Times New Roman" w:eastAsia="仿宋"/>
          <w:sz w:val="24"/>
        </w:rPr>
        <w:t>170</w:t>
      </w:r>
      <w:r>
        <w:rPr>
          <w:rFonts w:ascii="Times New Roman" w:hAnsi="Times New Roman" w:eastAsia="仿宋"/>
          <w:sz w:val="24"/>
        </w:rPr>
        <w:t>）。根据接受者操作特性曲线（Receiver Operating Characteristic, ROC）分析病灶动、静脉碘浓度变化</w:t>
      </w:r>
      <w:r>
        <w:rPr>
          <w:rFonts w:hint="eastAsia" w:ascii="Times New Roman" w:hAnsi="Times New Roman" w:eastAsia="仿宋"/>
          <w:sz w:val="24"/>
        </w:rPr>
        <w:t>率</w:t>
      </w:r>
      <w:r>
        <w:rPr>
          <w:rFonts w:ascii="Times New Roman" w:hAnsi="Times New Roman" w:eastAsia="仿宋"/>
          <w:sz w:val="24"/>
        </w:rPr>
        <w:t>的诊断价值，AUC值分别为,0.954（95%CI:0.9044-0.1.004）和0.647（95%CI:0.5048-0.7898）。</w:t>
      </w:r>
      <w:r>
        <w:rPr>
          <w:rFonts w:ascii="Times New Roman" w:hAnsi="Times New Roman" w:eastAsia="仿宋"/>
          <w:b/>
          <w:bCs/>
          <w:sz w:val="24"/>
        </w:rPr>
        <w:t>结论：</w:t>
      </w:r>
      <w:r>
        <w:rPr>
          <w:rFonts w:ascii="Times New Roman" w:hAnsi="Times New Roman" w:eastAsia="仿宋"/>
          <w:sz w:val="24"/>
        </w:rPr>
        <w:t>双能量CT动脉期碘浓度</w:t>
      </w:r>
      <w:r>
        <w:rPr>
          <w:rFonts w:hint="eastAsia" w:ascii="Times New Roman" w:hAnsi="Times New Roman" w:eastAsia="仿宋"/>
          <w:sz w:val="24"/>
        </w:rPr>
        <w:t>变化</w:t>
      </w:r>
      <w:r>
        <w:rPr>
          <w:rFonts w:ascii="Times New Roman" w:hAnsi="Times New Roman" w:eastAsia="仿宋"/>
          <w:sz w:val="24"/>
        </w:rPr>
        <w:t>率可以作为评价乳腺癌患者新辅助化疗疗效的指标</w:t>
      </w:r>
      <w:r>
        <w:rPr>
          <w:rFonts w:hint="eastAsia" w:ascii="Times New Roman" w:hAnsi="Times New Roman" w:eastAsia="仿宋"/>
          <w:sz w:val="24"/>
        </w:rPr>
        <w:t>，具有一定的临床推广价值</w:t>
      </w:r>
      <w:r>
        <w:rPr>
          <w:rFonts w:ascii="Times New Roman" w:hAnsi="Times New Roman" w:eastAsia="仿宋"/>
          <w:sz w:val="24"/>
        </w:rPr>
        <w:t>。</w:t>
      </w:r>
    </w:p>
    <w:p>
      <w:pPr>
        <w:spacing w:line="360" w:lineRule="auto"/>
        <w:rPr>
          <w:rFonts w:ascii="Times New Roman" w:hAnsi="Times New Roman" w:eastAsia="仿宋"/>
          <w:b/>
          <w:bCs/>
          <w:sz w:val="30"/>
          <w:szCs w:val="30"/>
        </w:rPr>
      </w:pPr>
      <w:r>
        <w:rPr>
          <w:rFonts w:hint="eastAsia" w:ascii="Times New Roman" w:hAnsi="Times New Roman" w:eastAsia="仿宋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关键词：</w:t>
      </w:r>
      <w:r>
        <w:rPr>
          <w:rFonts w:hint="eastAsia" w:ascii="Times New Roman" w:hAnsi="Times New Roman" w:eastAsia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乳腺癌；双能量CT；定量参数；新辅助化疗</w:t>
      </w:r>
    </w:p>
    <w:p>
      <w:pPr>
        <w:spacing w:line="360" w:lineRule="auto"/>
        <w:rPr>
          <w:rFonts w:ascii="Times New Roman" w:hAnsi="Times New Roman" w:eastAsia="仿宋"/>
          <w:b/>
          <w:bCs/>
          <w:sz w:val="24"/>
        </w:rPr>
      </w:pPr>
    </w:p>
    <w:p>
      <w:pPr>
        <w:spacing w:line="360" w:lineRule="auto"/>
        <w:rPr>
          <w:rFonts w:ascii="Times New Roman" w:hAnsi="Times New Roman" w:eastAsia="仿宋"/>
          <w:sz w:val="24"/>
        </w:rPr>
      </w:pPr>
    </w:p>
    <w:p>
      <w:pPr>
        <w:spacing w:line="360" w:lineRule="auto"/>
        <w:ind w:firstLine="480" w:firstLineChars="200"/>
        <w:rPr>
          <w:rFonts w:ascii="Times New Roman" w:hAnsi="Times New Roman" w:eastAsia="仿宋"/>
          <w:sz w:val="24"/>
        </w:rPr>
      </w:pPr>
    </w:p>
    <w:p>
      <w:pPr>
        <w:spacing w:line="360" w:lineRule="auto"/>
        <w:ind w:firstLine="720"/>
        <w:rPr>
          <w:rFonts w:ascii="Times New Roman" w:hAnsi="Times New Roman" w:eastAsia="仿宋"/>
          <w:color w:val="000000"/>
          <w:sz w:val="24"/>
        </w:rPr>
      </w:pPr>
    </w:p>
    <w:sectPr>
      <w:headerReference r:id="rId5" w:type="first"/>
      <w:headerReference r:id="rId3" w:type="default"/>
      <w:footerReference r:id="rId6" w:type="default"/>
      <w:headerReference r:id="rId4" w:type="even"/>
      <w:footerReference r:id="rId7" w:type="even"/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fldChar w:fldCharType="begin"/>
    </w:r>
    <w:r>
      <w:instrText xml:space="preserve"> DOCPROPERTY sodocoClasLang \* MERGEFORMAT </w:instrText>
    </w:r>
    <w:r>
      <w:fldChar w:fldCharType="separate"/>
    </w:r>
    <w:r>
      <w:t>Unrestricted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JiMTJlNjJjNTY2NDk0NzdkNGZiZmQ5NzFlNDM4ODgifQ=="/>
  </w:docVars>
  <w:rsids>
    <w:rsidRoot w:val="005554F4"/>
    <w:rsid w:val="00132F5E"/>
    <w:rsid w:val="00311FA8"/>
    <w:rsid w:val="005554F4"/>
    <w:rsid w:val="00CC5BA7"/>
    <w:rsid w:val="011645E4"/>
    <w:rsid w:val="12093675"/>
    <w:rsid w:val="146C6C12"/>
    <w:rsid w:val="172F681D"/>
    <w:rsid w:val="240B5776"/>
    <w:rsid w:val="2D32548A"/>
    <w:rsid w:val="396B1CAF"/>
    <w:rsid w:val="3D783598"/>
    <w:rsid w:val="44FC415C"/>
    <w:rsid w:val="4EA84FDC"/>
    <w:rsid w:val="4ED06072"/>
    <w:rsid w:val="5B9167AC"/>
    <w:rsid w:val="655A56A5"/>
    <w:rsid w:val="6A4077D2"/>
    <w:rsid w:val="BA7F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99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99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qFormat/>
    <w:uiPriority w:val="99"/>
    <w:rPr>
      <w:sz w:val="20"/>
      <w:szCs w:val="20"/>
    </w:rPr>
  </w:style>
  <w:style w:type="paragraph" w:styleId="3">
    <w:name w:val="footer"/>
    <w:basedOn w:val="1"/>
    <w:link w:val="12"/>
    <w:qFormat/>
    <w:uiPriority w:val="99"/>
    <w:pPr>
      <w:tabs>
        <w:tab w:val="center" w:pos="4320"/>
        <w:tab w:val="right" w:pos="8640"/>
      </w:tabs>
    </w:pPr>
  </w:style>
  <w:style w:type="paragraph" w:styleId="4">
    <w:name w:val="header"/>
    <w:basedOn w:val="1"/>
    <w:link w:val="11"/>
    <w:qFormat/>
    <w:uiPriority w:val="99"/>
    <w:pPr>
      <w:tabs>
        <w:tab w:val="center" w:pos="4320"/>
        <w:tab w:val="right" w:pos="8640"/>
      </w:tabs>
    </w:pPr>
  </w:style>
  <w:style w:type="paragraph" w:styleId="5">
    <w:name w:val="annotation subject"/>
    <w:basedOn w:val="2"/>
    <w:next w:val="2"/>
    <w:link w:val="15"/>
    <w:qFormat/>
    <w:uiPriority w:val="99"/>
    <w:rPr>
      <w:b/>
      <w:bCs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unhideWhenUsed/>
    <w:qFormat/>
    <w:uiPriority w:val="0"/>
    <w:rPr>
      <w:color w:val="0563C1"/>
      <w:u w:val="single"/>
    </w:rPr>
  </w:style>
  <w:style w:type="character" w:styleId="10">
    <w:name w:val="annotation reference"/>
    <w:basedOn w:val="8"/>
    <w:qFormat/>
    <w:uiPriority w:val="99"/>
    <w:rPr>
      <w:sz w:val="16"/>
      <w:szCs w:val="16"/>
    </w:rPr>
  </w:style>
  <w:style w:type="character" w:customStyle="1" w:styleId="11">
    <w:name w:val="页眉 字符"/>
    <w:basedOn w:val="8"/>
    <w:link w:val="4"/>
    <w:qFormat/>
    <w:uiPriority w:val="99"/>
    <w:rPr>
      <w:rFonts w:ascii="Calibri" w:hAnsi="Calibri" w:eastAsia="宋体" w:cs="Times New Roman"/>
      <w:kern w:val="2"/>
      <w:sz w:val="21"/>
      <w:szCs w:val="24"/>
    </w:rPr>
  </w:style>
  <w:style w:type="character" w:customStyle="1" w:styleId="12">
    <w:name w:val="页脚 字符"/>
    <w:basedOn w:val="8"/>
    <w:link w:val="3"/>
    <w:qFormat/>
    <w:uiPriority w:val="99"/>
    <w:rPr>
      <w:rFonts w:ascii="Calibri" w:hAnsi="Calibri" w:eastAsia="宋体" w:cs="Times New Roman"/>
      <w:kern w:val="2"/>
      <w:sz w:val="21"/>
      <w:szCs w:val="24"/>
    </w:rPr>
  </w:style>
  <w:style w:type="paragraph" w:customStyle="1" w:styleId="13">
    <w:name w:val="列表段落1"/>
    <w:basedOn w:val="1"/>
    <w:qFormat/>
    <w:uiPriority w:val="34"/>
    <w:pPr>
      <w:ind w:left="720"/>
      <w:contextualSpacing/>
    </w:pPr>
  </w:style>
  <w:style w:type="character" w:customStyle="1" w:styleId="14">
    <w:name w:val="批注文字 字符"/>
    <w:basedOn w:val="8"/>
    <w:link w:val="2"/>
    <w:qFormat/>
    <w:uiPriority w:val="99"/>
    <w:rPr>
      <w:rFonts w:ascii="Calibri" w:hAnsi="Calibri" w:eastAsia="宋体" w:cs="Times New Roman"/>
      <w:kern w:val="2"/>
      <w:sz w:val="20"/>
      <w:szCs w:val="20"/>
    </w:rPr>
  </w:style>
  <w:style w:type="character" w:customStyle="1" w:styleId="15">
    <w:name w:val="批注主题 字符"/>
    <w:basedOn w:val="14"/>
    <w:link w:val="5"/>
    <w:qFormat/>
    <w:uiPriority w:val="99"/>
    <w:rPr>
      <w:rFonts w:ascii="Calibri" w:hAnsi="Calibri" w:eastAsia="宋体" w:cs="Times New Roman"/>
      <w:b/>
      <w:bCs/>
      <w:kern w:val="2"/>
      <w:sz w:val="20"/>
      <w:szCs w:val="20"/>
    </w:rPr>
  </w:style>
  <w:style w:type="paragraph" w:customStyle="1" w:styleId="16">
    <w:name w:val="EndNote Bibliography Title"/>
    <w:basedOn w:val="1"/>
    <w:link w:val="17"/>
    <w:qFormat/>
    <w:uiPriority w:val="0"/>
    <w:pPr>
      <w:jc w:val="center"/>
    </w:pPr>
    <w:rPr>
      <w:rFonts w:cs="Calibri"/>
      <w:sz w:val="20"/>
    </w:rPr>
  </w:style>
  <w:style w:type="character" w:customStyle="1" w:styleId="17">
    <w:name w:val="EndNote Bibliography Title 字符"/>
    <w:basedOn w:val="8"/>
    <w:link w:val="16"/>
    <w:qFormat/>
    <w:uiPriority w:val="0"/>
    <w:rPr>
      <w:rFonts w:ascii="Calibri" w:hAnsi="Calibri" w:eastAsia="宋体" w:cs="Calibri"/>
      <w:kern w:val="2"/>
      <w:szCs w:val="24"/>
    </w:rPr>
  </w:style>
  <w:style w:type="paragraph" w:customStyle="1" w:styleId="18">
    <w:name w:val="EndNote Bibliography"/>
    <w:basedOn w:val="1"/>
    <w:link w:val="19"/>
    <w:qFormat/>
    <w:uiPriority w:val="0"/>
    <w:rPr>
      <w:rFonts w:cs="Calibri"/>
      <w:sz w:val="20"/>
    </w:rPr>
  </w:style>
  <w:style w:type="character" w:customStyle="1" w:styleId="19">
    <w:name w:val="EndNote Bibliography 字符"/>
    <w:basedOn w:val="8"/>
    <w:link w:val="18"/>
    <w:qFormat/>
    <w:uiPriority w:val="0"/>
    <w:rPr>
      <w:rFonts w:ascii="Calibri" w:hAnsi="Calibri" w:eastAsia="宋体" w:cs="Calibri"/>
      <w:kern w:val="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469</Words>
  <Characters>712</Characters>
  <Lines>104</Lines>
  <Paragraphs>29</Paragraphs>
  <TotalTime>1</TotalTime>
  <ScaleCrop>false</ScaleCrop>
  <LinksUpToDate>false</LinksUpToDate>
  <CharactersWithSpaces>718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2021-11-15T11:37:00Z</dcterms:created>
  <dc:creator>Tao, Ying</dc:creator>
  <cp:keywords>C_Unrestricted</cp:keywords>
  <cp:lastModifiedBy>我能给你啥</cp:lastModifiedBy>
  <dcterms:modified xsi:type="dcterms:W3CDTF">2023-07-08T06:42:08Z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Confidentiality">
    <vt:lpwstr>Unrestricted</vt:lpwstr>
  </property>
  <property fmtid="{D5CDD505-2E9C-101B-9397-08002B2CF9AE}" pid="3" name="Document_Confidentiality">
    <vt:lpwstr>Unrestricted</vt:lpwstr>
  </property>
  <property fmtid="{D5CDD505-2E9C-101B-9397-08002B2CF9AE}" pid="4" name="sodocoClasLang">
    <vt:lpwstr>Unrestricted</vt:lpwstr>
  </property>
  <property fmtid="{D5CDD505-2E9C-101B-9397-08002B2CF9AE}" pid="5" name="sodocoClasLangId">
    <vt:i4>0</vt:i4>
  </property>
  <property fmtid="{D5CDD505-2E9C-101B-9397-08002B2CF9AE}" pid="6" name="sodocoClasId">
    <vt:i4>0</vt:i4>
  </property>
  <property fmtid="{D5CDD505-2E9C-101B-9397-08002B2CF9AE}" pid="7" name="KSOProductBuildVer">
    <vt:lpwstr>2052-11.1.0.14309</vt:lpwstr>
  </property>
  <property fmtid="{D5CDD505-2E9C-101B-9397-08002B2CF9AE}" pid="8" name="ICV">
    <vt:lpwstr>DEAB2AE0EBFD4ED4B3841E1F1DAB7A75_13</vt:lpwstr>
  </property>
</Properties>
</file>