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egoe UI" w:hAnsi="Segoe UI" w:cs="Segoe UI"/>
          <w:color w:val="2A2B2E"/>
          <w:szCs w:val="21"/>
        </w:rPr>
      </w:pPr>
      <w:bookmarkStart w:id="0" w:name="OLE_LINK2"/>
      <w:r>
        <w:rPr>
          <w:rFonts w:hint="eastAsia" w:ascii="Segoe UI" w:hAnsi="Segoe UI" w:cs="Segoe UI"/>
          <w:color w:val="2A2B2E"/>
          <w:szCs w:val="21"/>
          <w:lang w:val="en-US" w:eastAsia="zh-CN"/>
        </w:rPr>
        <w:t>题目：</w:t>
      </w:r>
      <w:r>
        <w:rPr>
          <w:rFonts w:ascii="Segoe UI" w:hAnsi="Segoe UI" w:cs="Segoe UI"/>
          <w:color w:val="2A2B2E"/>
          <w:szCs w:val="21"/>
        </w:rPr>
        <w:t>三阴性乳腺癌联合免疫检查点治疗的联合治疗策略:现状、前景和展望</w:t>
      </w:r>
      <w:bookmarkEnd w:id="0"/>
    </w:p>
    <w:p>
      <w:pPr>
        <w:rPr>
          <w:rFonts w:hint="eastAsia" w:ascii="Segoe UI" w:hAnsi="Segoe UI" w:cs="Segoe UI" w:eastAsiaTheme="minorEastAsia"/>
          <w:color w:val="2A2B2E"/>
          <w:szCs w:val="21"/>
          <w:lang w:val="en-US" w:eastAsia="zh-CN"/>
        </w:rPr>
      </w:pPr>
      <w:r>
        <w:rPr>
          <w:rFonts w:hint="eastAsia" w:ascii="Segoe UI" w:hAnsi="Segoe UI" w:cs="Segoe UI"/>
          <w:color w:val="2A2B2E"/>
          <w:szCs w:val="21"/>
          <w:lang w:val="en-US" w:eastAsia="zh-CN"/>
        </w:rPr>
        <w:t>摘要：</w:t>
      </w:r>
    </w:p>
    <w:p>
      <w:pPr>
        <w:rPr>
          <w:rStyle w:val="4"/>
          <w:rFonts w:hint="eastAsia" w:ascii="Segoe UI" w:hAnsi="Segoe UI" w:cs="Segoe UI"/>
          <w:color w:val="2A2B2E"/>
          <w:szCs w:val="21"/>
          <w:shd w:val="clear" w:color="auto" w:fill="FFFFFF"/>
          <w:lang w:eastAsia="zh-CN"/>
        </w:rPr>
      </w:pPr>
      <w:r>
        <w:rPr>
          <w:rStyle w:val="4"/>
          <w:rFonts w:ascii="Segoe UI" w:hAnsi="Segoe UI" w:cs="Segoe UI"/>
          <w:color w:val="2A2B2E"/>
          <w:szCs w:val="21"/>
          <w:shd w:val="clear" w:color="auto" w:fill="FFFFFF"/>
        </w:rPr>
        <w:t>三阴性乳腺癌</w:t>
      </w:r>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lang w:val="en-US" w:eastAsia="zh-CN"/>
        </w:rPr>
        <w:t>TNBC</w:t>
      </w:r>
      <w:r>
        <w:rPr>
          <w:rStyle w:val="4"/>
          <w:rFonts w:hint="eastAsia" w:ascii="Segoe UI" w:hAnsi="Segoe UI" w:cs="Segoe UI"/>
          <w:color w:val="2A2B2E"/>
          <w:szCs w:val="21"/>
          <w:shd w:val="clear" w:color="auto" w:fill="FFFFFF"/>
          <w:lang w:eastAsia="zh-CN"/>
        </w:rPr>
        <w:t>）</w:t>
      </w:r>
      <w:r>
        <w:rPr>
          <w:rStyle w:val="4"/>
          <w:rFonts w:ascii="Segoe UI" w:hAnsi="Segoe UI" w:cs="Segoe UI"/>
          <w:color w:val="2A2B2E"/>
          <w:szCs w:val="21"/>
          <w:shd w:val="clear" w:color="auto" w:fill="FFFFFF"/>
        </w:rPr>
        <w:t>是一种预后差、转移和复发概率高、5年生存率低的乳腺癌临床亚型。由于TNBC对</w:t>
      </w:r>
      <w:r>
        <w:rPr>
          <w:rStyle w:val="4"/>
          <w:rFonts w:hint="eastAsia" w:ascii="Segoe UI" w:hAnsi="Segoe UI" w:cs="Segoe UI"/>
          <w:color w:val="2A2B2E"/>
          <w:szCs w:val="21"/>
          <w:shd w:val="clear" w:color="auto" w:fill="FFFFFF"/>
          <w:lang w:val="en-US" w:eastAsia="zh-CN"/>
        </w:rPr>
        <w:t>内分泌治疗</w:t>
      </w:r>
      <w:r>
        <w:rPr>
          <w:rStyle w:val="4"/>
          <w:rFonts w:ascii="Segoe UI" w:hAnsi="Segoe UI" w:cs="Segoe UI"/>
          <w:color w:val="2A2B2E"/>
          <w:szCs w:val="21"/>
          <w:shd w:val="clear" w:color="auto" w:fill="FFFFFF"/>
        </w:rPr>
        <w:t>和抗</w:t>
      </w:r>
      <w:r>
        <w:rPr>
          <w:rStyle w:val="4"/>
          <w:rFonts w:hint="eastAsia" w:ascii="Segoe UI" w:hAnsi="Segoe UI" w:cs="Segoe UI"/>
          <w:color w:val="2A2B2E"/>
          <w:szCs w:val="21"/>
          <w:shd w:val="clear" w:color="auto" w:fill="FFFFFF"/>
          <w:lang w:val="en-US" w:eastAsia="zh-CN"/>
        </w:rPr>
        <w:t>人表皮生长因子受体2（HER</w:t>
      </w:r>
      <w:r>
        <w:rPr>
          <w:rStyle w:val="4"/>
          <w:rFonts w:ascii="Segoe UI" w:hAnsi="Segoe UI" w:cs="Segoe UI"/>
          <w:color w:val="2A2B2E"/>
          <w:szCs w:val="21"/>
          <w:shd w:val="clear" w:color="auto" w:fill="FFFFFF"/>
        </w:rPr>
        <w:t>2</w:t>
      </w:r>
      <w:r>
        <w:rPr>
          <w:rStyle w:val="4"/>
          <w:rFonts w:hint="eastAsia" w:ascii="Segoe UI" w:hAnsi="Segoe UI" w:cs="Segoe UI"/>
          <w:color w:val="2A2B2E"/>
          <w:szCs w:val="21"/>
          <w:shd w:val="clear" w:color="auto" w:fill="FFFFFF"/>
          <w:lang w:val="en-US" w:eastAsia="zh-CN"/>
        </w:rPr>
        <w:t>）</w:t>
      </w:r>
      <w:r>
        <w:rPr>
          <w:rStyle w:val="4"/>
          <w:rFonts w:ascii="Segoe UI" w:hAnsi="Segoe UI" w:cs="Segoe UI"/>
          <w:color w:val="2A2B2E"/>
          <w:szCs w:val="21"/>
          <w:shd w:val="clear" w:color="auto" w:fill="FFFFFF"/>
        </w:rPr>
        <w:t>靶向治疗反应不佳，常规化疗仍然是</w:t>
      </w:r>
      <w:r>
        <w:rPr>
          <w:rStyle w:val="4"/>
          <w:rFonts w:hint="eastAsia" w:ascii="Segoe UI" w:hAnsi="Segoe UI" w:cs="Segoe UI"/>
          <w:color w:val="2A2B2E"/>
          <w:szCs w:val="21"/>
          <w:shd w:val="clear" w:color="auto" w:fill="FFFFFF"/>
          <w:lang w:val="en-US" w:eastAsia="zh-CN"/>
        </w:rPr>
        <w:t>目前主要</w:t>
      </w:r>
      <w:r>
        <w:rPr>
          <w:rStyle w:val="4"/>
          <w:rFonts w:ascii="Segoe UI" w:hAnsi="Segoe UI" w:cs="Segoe UI"/>
          <w:color w:val="2A2B2E"/>
          <w:szCs w:val="21"/>
          <w:shd w:val="clear" w:color="auto" w:fill="FFFFFF"/>
        </w:rPr>
        <w:t>的治疗方法。</w:t>
      </w:r>
      <w:r>
        <w:rPr>
          <w:rStyle w:val="4"/>
          <w:rFonts w:hint="eastAsia" w:ascii="Segoe UI" w:hAnsi="Segoe UI" w:cs="Segoe UI"/>
          <w:color w:val="2A2B2E"/>
          <w:szCs w:val="21"/>
          <w:shd w:val="clear" w:color="auto" w:fill="FFFFFF"/>
          <w:lang w:val="en-US" w:eastAsia="zh-CN"/>
        </w:rPr>
        <w:t>同时，</w:t>
      </w:r>
      <w:r>
        <w:rPr>
          <w:rStyle w:val="4"/>
          <w:rFonts w:ascii="Segoe UI" w:hAnsi="Segoe UI" w:cs="Segoe UI"/>
          <w:color w:val="2A2B2E"/>
          <w:szCs w:val="21"/>
          <w:shd w:val="clear" w:color="auto" w:fill="FFFFFF"/>
        </w:rPr>
        <w:t>由于</w:t>
      </w:r>
      <w:r>
        <w:rPr>
          <w:rStyle w:val="4"/>
          <w:rFonts w:hint="eastAsia" w:ascii="Segoe UI" w:hAnsi="Segoe UI" w:cs="Segoe UI"/>
          <w:color w:val="2A2B2E"/>
          <w:szCs w:val="21"/>
          <w:shd w:val="clear" w:color="auto" w:fill="FFFFFF"/>
          <w:lang w:val="en-US" w:eastAsia="zh-CN"/>
        </w:rPr>
        <w:t>大量的研究发现</w:t>
      </w:r>
      <w:r>
        <w:rPr>
          <w:rStyle w:val="4"/>
          <w:rFonts w:ascii="Segoe UI" w:hAnsi="Segoe UI" w:cs="Segoe UI"/>
          <w:color w:val="2A2B2E"/>
          <w:szCs w:val="21"/>
          <w:shd w:val="clear" w:color="auto" w:fill="FFFFFF"/>
        </w:rPr>
        <w:t>TNBC具有高水平的肿瘤负担突变和免疫细胞浸润，TNBC</w:t>
      </w:r>
      <w:r>
        <w:rPr>
          <w:rStyle w:val="4"/>
          <w:rFonts w:hint="eastAsia" w:ascii="Segoe UI" w:hAnsi="Segoe UI" w:cs="Segoe UI"/>
          <w:color w:val="2A2B2E"/>
          <w:szCs w:val="21"/>
          <w:shd w:val="clear" w:color="auto" w:fill="FFFFFF"/>
          <w:lang w:val="en-US" w:eastAsia="zh-CN"/>
        </w:rPr>
        <w:t>又被视为具有</w:t>
      </w:r>
      <w:r>
        <w:rPr>
          <w:rStyle w:val="4"/>
          <w:rFonts w:ascii="Segoe UI" w:hAnsi="Segoe UI" w:cs="Segoe UI"/>
          <w:color w:val="2A2B2E"/>
          <w:szCs w:val="21"/>
          <w:shd w:val="clear" w:color="auto" w:fill="FFFFFF"/>
        </w:rPr>
        <w:t>免疫原性</w:t>
      </w:r>
      <w:r>
        <w:rPr>
          <w:rStyle w:val="4"/>
          <w:rFonts w:hint="eastAsia" w:ascii="Segoe UI" w:hAnsi="Segoe UI" w:cs="Segoe UI"/>
          <w:color w:val="2A2B2E"/>
          <w:szCs w:val="21"/>
          <w:shd w:val="clear" w:color="auto" w:fill="FFFFFF"/>
          <w:lang w:val="en-US" w:eastAsia="zh-CN"/>
        </w:rPr>
        <w:t>的</w:t>
      </w:r>
      <w:r>
        <w:rPr>
          <w:rStyle w:val="4"/>
          <w:rFonts w:ascii="Segoe UI" w:hAnsi="Segoe UI" w:cs="Segoe UI"/>
          <w:color w:val="2A2B2E"/>
          <w:szCs w:val="21"/>
          <w:shd w:val="clear" w:color="auto" w:fill="FFFFFF"/>
        </w:rPr>
        <w:t>乳腺癌</w:t>
      </w:r>
      <w:r>
        <w:rPr>
          <w:rStyle w:val="4"/>
          <w:rFonts w:hint="eastAsia" w:ascii="Segoe UI" w:hAnsi="Segoe UI" w:cs="Segoe UI"/>
          <w:color w:val="2A2B2E"/>
          <w:szCs w:val="21"/>
          <w:shd w:val="clear" w:color="auto" w:fill="FFFFFF"/>
          <w:lang w:val="en-US" w:eastAsia="zh-CN"/>
        </w:rPr>
        <w:t>亚型</w:t>
      </w:r>
      <w:r>
        <w:rPr>
          <w:rStyle w:val="4"/>
          <w:rFonts w:ascii="Segoe UI" w:hAnsi="Segoe UI" w:cs="Segoe UI"/>
          <w:color w:val="2A2B2E"/>
          <w:szCs w:val="21"/>
          <w:shd w:val="clear" w:color="auto" w:fill="FFFFFF"/>
        </w:rPr>
        <w:t>，因此免疫治疗</w:t>
      </w:r>
      <w:r>
        <w:rPr>
          <w:rStyle w:val="4"/>
          <w:rFonts w:hint="eastAsia" w:ascii="Segoe UI" w:hAnsi="Segoe UI" w:cs="Segoe UI"/>
          <w:color w:val="2A2B2E"/>
          <w:szCs w:val="21"/>
          <w:shd w:val="clear" w:color="auto" w:fill="FFFFFF"/>
          <w:lang w:val="en-US" w:eastAsia="zh-CN"/>
        </w:rPr>
        <w:t>有望成为</w:t>
      </w:r>
      <w:r>
        <w:rPr>
          <w:rStyle w:val="4"/>
          <w:rFonts w:ascii="Segoe UI" w:hAnsi="Segoe UI" w:cs="Segoe UI"/>
          <w:color w:val="2A2B2E"/>
          <w:szCs w:val="21"/>
          <w:shd w:val="clear" w:color="auto" w:fill="FFFFFF"/>
        </w:rPr>
        <w:t>TNBC治疗策略的有力补充</w:t>
      </w:r>
      <w:r>
        <w:rPr>
          <w:rStyle w:val="4"/>
          <w:rFonts w:hint="eastAsia" w:ascii="Segoe UI" w:hAnsi="Segoe UI" w:cs="Segoe UI"/>
          <w:color w:val="2A2B2E"/>
          <w:szCs w:val="21"/>
          <w:shd w:val="clear" w:color="auto" w:fill="FFFFFF"/>
          <w:lang w:eastAsia="zh-CN"/>
        </w:rPr>
        <w:t>。</w:t>
      </w:r>
    </w:p>
    <w:p>
      <w:pPr>
        <w:rPr>
          <w:rStyle w:val="4"/>
          <w:rFonts w:ascii="Segoe UI" w:hAnsi="Segoe UI" w:cs="Segoe UI"/>
          <w:color w:val="2A2B2E"/>
          <w:szCs w:val="21"/>
          <w:shd w:val="clear" w:color="auto" w:fill="FFFFFF"/>
        </w:rPr>
      </w:pPr>
      <w:bookmarkStart w:id="1" w:name="OLE_LINK1"/>
      <w:r>
        <w:rPr>
          <w:rStyle w:val="4"/>
          <w:rFonts w:ascii="Segoe UI" w:hAnsi="Segoe UI" w:cs="Segoe UI"/>
          <w:color w:val="2A2B2E"/>
          <w:szCs w:val="21"/>
          <w:shd w:val="clear" w:color="auto" w:fill="FFFFFF"/>
        </w:rPr>
        <w:t>但目前的临床研究</w:t>
      </w:r>
      <w:r>
        <w:rPr>
          <w:rStyle w:val="4"/>
          <w:rFonts w:hint="eastAsia" w:ascii="Segoe UI" w:hAnsi="Segoe UI" w:cs="Segoe UI"/>
          <w:color w:val="2A2B2E"/>
          <w:szCs w:val="21"/>
          <w:shd w:val="clear" w:color="auto" w:fill="FFFFFF"/>
          <w:lang w:val="en-US" w:eastAsia="zh-CN"/>
        </w:rPr>
        <w:t>表明</w:t>
      </w:r>
      <w:r>
        <w:rPr>
          <w:rStyle w:val="4"/>
          <w:rFonts w:hint="eastAsia" w:ascii="Segoe UI" w:hAnsi="Segoe UI" w:cs="Segoe UI"/>
          <w:color w:val="2A2B2E"/>
          <w:szCs w:val="21"/>
          <w:shd w:val="clear" w:color="auto" w:fill="FFFFFF"/>
          <w:lang w:eastAsia="zh-CN"/>
        </w:rPr>
        <w:t>，</w:t>
      </w:r>
      <w:r>
        <w:rPr>
          <w:rStyle w:val="4"/>
          <w:rFonts w:ascii="Segoe UI" w:hAnsi="Segoe UI" w:cs="Segoe UI"/>
          <w:color w:val="2A2B2E"/>
          <w:szCs w:val="21"/>
          <w:shd w:val="clear" w:color="auto" w:fill="FFFFFF"/>
        </w:rPr>
        <w:t>免疫检查点抑制剂</w:t>
      </w:r>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lang w:val="en-US" w:eastAsia="zh-CN"/>
        </w:rPr>
        <w:t>ICI</w:t>
      </w:r>
      <w:r>
        <w:rPr>
          <w:rStyle w:val="4"/>
          <w:rFonts w:hint="eastAsia" w:ascii="Segoe UI" w:hAnsi="Segoe UI" w:cs="Segoe UI"/>
          <w:color w:val="2A2B2E"/>
          <w:szCs w:val="21"/>
          <w:shd w:val="clear" w:color="auto" w:fill="FFFFFF"/>
          <w:lang w:eastAsia="zh-CN"/>
        </w:rPr>
        <w:t>）</w:t>
      </w:r>
      <w:r>
        <w:rPr>
          <w:rStyle w:val="4"/>
          <w:rFonts w:ascii="Segoe UI" w:hAnsi="Segoe UI" w:cs="Segoe UI"/>
          <w:color w:val="2A2B2E"/>
          <w:szCs w:val="21"/>
          <w:shd w:val="clear" w:color="auto" w:fill="FFFFFF"/>
        </w:rPr>
        <w:t>治疗策略对TNBC</w:t>
      </w:r>
      <w:r>
        <w:rPr>
          <w:rStyle w:val="4"/>
          <w:rFonts w:hint="eastAsia" w:ascii="Segoe UI" w:hAnsi="Segoe UI" w:cs="Segoe UI"/>
          <w:color w:val="2A2B2E"/>
          <w:szCs w:val="21"/>
          <w:shd w:val="clear" w:color="auto" w:fill="FFFFFF"/>
          <w:lang w:val="en-US" w:eastAsia="zh-CN"/>
        </w:rPr>
        <w:t>患者</w:t>
      </w:r>
      <w:r>
        <w:rPr>
          <w:rStyle w:val="4"/>
          <w:rFonts w:ascii="Segoe UI" w:hAnsi="Segoe UI" w:cs="Segoe UI"/>
          <w:color w:val="2A2B2E"/>
          <w:szCs w:val="21"/>
          <w:shd w:val="clear" w:color="auto" w:fill="FFFFFF"/>
        </w:rPr>
        <w:t>疗效</w:t>
      </w:r>
      <w:r>
        <w:rPr>
          <w:rStyle w:val="4"/>
          <w:rFonts w:hint="eastAsia" w:ascii="Segoe UI" w:hAnsi="Segoe UI" w:cs="Segoe UI"/>
          <w:color w:val="2A2B2E"/>
          <w:szCs w:val="21"/>
          <w:shd w:val="clear" w:color="auto" w:fill="FFFFFF"/>
          <w:lang w:val="en-US" w:eastAsia="zh-CN"/>
        </w:rPr>
        <w:t>具有个体异质性，</w:t>
      </w:r>
      <w:r>
        <w:rPr>
          <w:rStyle w:val="4"/>
          <w:rFonts w:ascii="Segoe UI" w:hAnsi="Segoe UI" w:cs="Segoe UI"/>
          <w:color w:val="2A2B2E"/>
          <w:szCs w:val="21"/>
          <w:shd w:val="clear" w:color="auto" w:fill="FFFFFF"/>
        </w:rPr>
        <w:t>仅受益于部分患者</w:t>
      </w:r>
      <w:bookmarkEnd w:id="1"/>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rPr>
        <w:t>随着近年来对肿瘤免疫治疗耐药机制的研究激增，本文将重点讨论免疫</w:t>
      </w:r>
      <w:r>
        <w:rPr>
          <w:rStyle w:val="4"/>
          <w:rFonts w:hint="eastAsia" w:ascii="Segoe UI" w:hAnsi="Segoe UI" w:cs="Segoe UI"/>
          <w:color w:val="2A2B2E"/>
          <w:szCs w:val="21"/>
          <w:shd w:val="clear" w:color="auto" w:fill="FFFFFF"/>
          <w:lang w:val="en-US" w:eastAsia="zh-CN"/>
        </w:rPr>
        <w:t>耐药微环境形成</w:t>
      </w:r>
      <w:r>
        <w:rPr>
          <w:rStyle w:val="4"/>
          <w:rFonts w:hint="eastAsia" w:ascii="Segoe UI" w:hAnsi="Segoe UI" w:cs="Segoe UI"/>
          <w:color w:val="2A2B2E"/>
          <w:szCs w:val="21"/>
          <w:shd w:val="clear" w:color="auto" w:fill="FFFFFF"/>
        </w:rPr>
        <w:t>的过程</w:t>
      </w:r>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lang w:val="en-US" w:eastAsia="zh-CN"/>
        </w:rPr>
        <w:t>并</w:t>
      </w:r>
      <w:r>
        <w:rPr>
          <w:rStyle w:val="4"/>
          <w:rFonts w:hint="eastAsia" w:ascii="Segoe UI" w:hAnsi="Segoe UI" w:cs="Segoe UI"/>
          <w:color w:val="2A2B2E"/>
          <w:szCs w:val="21"/>
          <w:shd w:val="clear" w:color="auto" w:fill="FFFFFF"/>
        </w:rPr>
        <w:t>将TNBC的免疫逃避机制归纳为三类</w:t>
      </w:r>
      <w:r>
        <w:rPr>
          <w:rStyle w:val="4"/>
          <w:rFonts w:hint="eastAsia" w:ascii="Segoe UI" w:hAnsi="Segoe UI" w:cs="Segoe UI"/>
          <w:color w:val="2A2B2E"/>
          <w:szCs w:val="21"/>
          <w:shd w:val="clear" w:color="auto" w:fill="FFFFFF"/>
          <w:lang w:val="en-US" w:eastAsia="zh-CN"/>
        </w:rPr>
        <w:t>原因</w:t>
      </w:r>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rPr>
        <w:t>肿瘤特异性抗原缺失、抗原呈递不足和免疫应答</w:t>
      </w:r>
      <w:r>
        <w:rPr>
          <w:rStyle w:val="4"/>
          <w:rFonts w:hint="eastAsia" w:ascii="Segoe UI" w:hAnsi="Segoe UI" w:cs="Segoe UI"/>
          <w:color w:val="2A2B2E"/>
          <w:szCs w:val="21"/>
          <w:shd w:val="clear" w:color="auto" w:fill="FFFFFF"/>
          <w:lang w:val="en-US" w:eastAsia="zh-CN"/>
        </w:rPr>
        <w:t>启动失效</w:t>
      </w:r>
      <w:bookmarkStart w:id="2" w:name="OLE_LINK3"/>
      <w:r>
        <w:rPr>
          <w:rStyle w:val="4"/>
          <w:rFonts w:hint="eastAsia" w:ascii="Segoe UI" w:hAnsi="Segoe UI" w:cs="Segoe UI"/>
          <w:color w:val="2A2B2E"/>
          <w:szCs w:val="21"/>
          <w:shd w:val="clear" w:color="auto" w:fill="FFFFFF"/>
          <w:lang w:eastAsia="zh-CN"/>
        </w:rPr>
        <w:t>。</w:t>
      </w:r>
      <w:bookmarkEnd w:id="2"/>
      <w:r>
        <w:rPr>
          <w:rStyle w:val="4"/>
          <w:rFonts w:hint="eastAsia" w:ascii="Segoe UI" w:hAnsi="Segoe UI" w:cs="Segoe UI"/>
          <w:color w:val="2A2B2E"/>
          <w:szCs w:val="21"/>
          <w:shd w:val="clear" w:color="auto" w:fill="FFFFFF"/>
          <w:lang w:val="en-US" w:eastAsia="zh-CN"/>
        </w:rPr>
        <w:t>同时耐药形成的过程中通常伴随着</w:t>
      </w:r>
      <w:r>
        <w:rPr>
          <w:rStyle w:val="4"/>
          <w:rFonts w:hint="eastAsia" w:ascii="Segoe UI" w:hAnsi="Segoe UI" w:cs="Segoe UI"/>
          <w:color w:val="2A2B2E"/>
          <w:szCs w:val="21"/>
          <w:shd w:val="clear" w:color="auto" w:fill="FFFFFF"/>
        </w:rPr>
        <w:t>一系列免疫</w:t>
      </w:r>
      <w:r>
        <w:rPr>
          <w:rStyle w:val="4"/>
          <w:rFonts w:hint="eastAsia" w:ascii="Segoe UI" w:hAnsi="Segoe UI" w:cs="Segoe UI"/>
          <w:color w:val="2A2B2E"/>
          <w:szCs w:val="21"/>
          <w:shd w:val="clear" w:color="auto" w:fill="FFFFFF"/>
          <w:lang w:val="en-US" w:eastAsia="zh-CN"/>
        </w:rPr>
        <w:t>逃逸</w:t>
      </w:r>
      <w:r>
        <w:rPr>
          <w:rStyle w:val="4"/>
          <w:rFonts w:hint="eastAsia" w:ascii="Segoe UI" w:hAnsi="Segoe UI" w:cs="Segoe UI"/>
          <w:color w:val="2A2B2E"/>
          <w:szCs w:val="21"/>
          <w:shd w:val="clear" w:color="auto" w:fill="FFFFFF"/>
        </w:rPr>
        <w:t>信号通路的异常激活，了解肿瘤与宿主免疫系统之间的作用</w:t>
      </w:r>
      <w:r>
        <w:rPr>
          <w:rStyle w:val="4"/>
          <w:rFonts w:hint="eastAsia" w:ascii="Segoe UI" w:hAnsi="Segoe UI" w:cs="Segoe UI"/>
          <w:color w:val="2A2B2E"/>
          <w:szCs w:val="21"/>
          <w:shd w:val="clear" w:color="auto" w:fill="FFFFFF"/>
          <w:lang w:val="en-US" w:eastAsia="zh-CN"/>
        </w:rPr>
        <w:t>靶点有助于</w:t>
      </w:r>
      <w:r>
        <w:rPr>
          <w:rStyle w:val="4"/>
          <w:rFonts w:hint="eastAsia" w:ascii="Segoe UI" w:hAnsi="Segoe UI" w:cs="Segoe UI"/>
          <w:color w:val="2A2B2E"/>
          <w:szCs w:val="21"/>
          <w:shd w:val="clear" w:color="auto" w:fill="FFFFFF"/>
        </w:rPr>
        <w:t>揭示</w:t>
      </w:r>
      <w:r>
        <w:rPr>
          <w:rStyle w:val="4"/>
          <w:rFonts w:hint="eastAsia" w:ascii="Segoe UI" w:hAnsi="Segoe UI" w:cs="Segoe UI"/>
          <w:color w:val="2A2B2E"/>
          <w:szCs w:val="21"/>
          <w:shd w:val="clear" w:color="auto" w:fill="FFFFFF"/>
          <w:lang w:val="en-US" w:eastAsia="zh-CN"/>
        </w:rPr>
        <w:t>TNBC</w:t>
      </w:r>
      <w:r>
        <w:rPr>
          <w:rStyle w:val="4"/>
          <w:rFonts w:hint="eastAsia" w:ascii="Segoe UI" w:hAnsi="Segoe UI" w:cs="Segoe UI"/>
          <w:color w:val="2A2B2E"/>
          <w:szCs w:val="21"/>
          <w:shd w:val="clear" w:color="auto" w:fill="FFFFFF"/>
        </w:rPr>
        <w:t>免疫耐药的</w:t>
      </w:r>
      <w:r>
        <w:rPr>
          <w:rStyle w:val="4"/>
          <w:rFonts w:hint="eastAsia" w:ascii="Segoe UI" w:hAnsi="Segoe UI" w:cs="Segoe UI"/>
          <w:color w:val="2A2B2E"/>
          <w:szCs w:val="21"/>
          <w:shd w:val="clear" w:color="auto" w:fill="FFFFFF"/>
          <w:lang w:val="en-US" w:eastAsia="zh-CN"/>
        </w:rPr>
        <w:t>分子</w:t>
      </w:r>
      <w:r>
        <w:rPr>
          <w:rStyle w:val="4"/>
          <w:rFonts w:hint="eastAsia" w:ascii="Segoe UI" w:hAnsi="Segoe UI" w:cs="Segoe UI"/>
          <w:color w:val="2A2B2E"/>
          <w:szCs w:val="21"/>
          <w:shd w:val="clear" w:color="auto" w:fill="FFFFFF"/>
        </w:rPr>
        <w:t>机制，并确定潜在的干预靶点</w:t>
      </w:r>
      <w:r>
        <w:rPr>
          <w:rStyle w:val="4"/>
          <w:rFonts w:hint="eastAsia" w:ascii="Segoe UI" w:hAnsi="Segoe UI" w:cs="Segoe UI"/>
          <w:color w:val="2A2B2E"/>
          <w:szCs w:val="21"/>
          <w:shd w:val="clear" w:color="auto" w:fill="FFFFFF"/>
          <w:lang w:eastAsia="zh-CN"/>
        </w:rPr>
        <w:t>，</w:t>
      </w:r>
      <w:r>
        <w:rPr>
          <w:rStyle w:val="4"/>
          <w:rFonts w:hint="eastAsia" w:ascii="Segoe UI" w:hAnsi="Segoe UI" w:cs="Segoe UI"/>
          <w:color w:val="2A2B2E"/>
          <w:szCs w:val="21"/>
          <w:shd w:val="clear" w:color="auto" w:fill="FFFFFF"/>
        </w:rPr>
        <w:t>并为寻找预测免疫疗效的生物标志物和选择可能受益于免疫治疗的乳腺癌人群奠定基础。</w:t>
      </w:r>
      <w:r>
        <w:rPr>
          <w:rStyle w:val="4"/>
          <w:rFonts w:ascii="Segoe UI" w:hAnsi="Segoe UI" w:cs="Segoe UI"/>
          <w:color w:val="2A2B2E"/>
          <w:szCs w:val="21"/>
          <w:shd w:val="clear" w:color="auto" w:fill="FFFFFF"/>
        </w:rPr>
        <w:t>这些进展为开发个性化、更有效和安全的</w:t>
      </w:r>
      <w:r>
        <w:rPr>
          <w:rStyle w:val="4"/>
          <w:rFonts w:hint="eastAsia" w:ascii="Segoe UI" w:hAnsi="Segoe UI" w:cs="Segoe UI"/>
          <w:color w:val="2A2B2E"/>
          <w:szCs w:val="21"/>
          <w:shd w:val="clear" w:color="auto" w:fill="FFFFFF"/>
          <w:lang w:val="en-US" w:eastAsia="zh-CN"/>
        </w:rPr>
        <w:t>免疫</w:t>
      </w:r>
      <w:r>
        <w:rPr>
          <w:rStyle w:val="4"/>
          <w:rFonts w:ascii="Segoe UI" w:hAnsi="Segoe UI" w:cs="Segoe UI"/>
          <w:color w:val="2A2B2E"/>
          <w:szCs w:val="21"/>
          <w:shd w:val="clear" w:color="auto" w:fill="FFFFFF"/>
        </w:rPr>
        <w:t>治疗</w:t>
      </w:r>
      <w:r>
        <w:rPr>
          <w:rStyle w:val="4"/>
          <w:rFonts w:hint="eastAsia" w:ascii="Segoe UI" w:hAnsi="Segoe UI" w:cs="Segoe UI"/>
          <w:color w:val="2A2B2E"/>
          <w:szCs w:val="21"/>
          <w:shd w:val="clear" w:color="auto" w:fill="FFFFFF"/>
          <w:lang w:val="en-US" w:eastAsia="zh-CN"/>
        </w:rPr>
        <w:t>策略</w:t>
      </w:r>
      <w:r>
        <w:rPr>
          <w:rStyle w:val="4"/>
          <w:rFonts w:ascii="Segoe UI" w:hAnsi="Segoe UI" w:cs="Segoe UI"/>
          <w:color w:val="2A2B2E"/>
          <w:szCs w:val="21"/>
          <w:shd w:val="clear" w:color="auto" w:fill="FFFFFF"/>
        </w:rPr>
        <w:t>带来了希望，这将</w:t>
      </w:r>
      <w:bookmarkStart w:id="3" w:name="_GoBack"/>
      <w:bookmarkEnd w:id="3"/>
      <w:r>
        <w:rPr>
          <w:rStyle w:val="4"/>
          <w:rFonts w:ascii="Segoe UI" w:hAnsi="Segoe UI" w:cs="Segoe UI"/>
          <w:color w:val="2A2B2E"/>
          <w:szCs w:val="21"/>
          <w:shd w:val="clear" w:color="auto" w:fill="FFFFFF"/>
        </w:rPr>
        <w:t>提高TNBC患者的生存率和生活质量。</w:t>
      </w:r>
    </w:p>
    <w:p>
      <w:pPr>
        <w:rPr>
          <w:rStyle w:val="4"/>
          <w:rFonts w:hint="eastAsia" w:ascii="Segoe UI" w:hAnsi="Segoe UI" w:cs="Segoe UI"/>
          <w:color w:val="2A2B2E"/>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NzA3NGNjMTdlNTA4MWZkZDg4YWI5MzkxMWEyZDcifQ=="/>
  </w:docVars>
  <w:rsids>
    <w:rsidRoot w:val="00DC6BC6"/>
    <w:rsid w:val="001F61BE"/>
    <w:rsid w:val="00220063"/>
    <w:rsid w:val="0075563C"/>
    <w:rsid w:val="00DC6BC6"/>
    <w:rsid w:val="200F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transsent"/>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599</Words>
  <Characters>1752</Characters>
  <Lines>14</Lines>
  <Paragraphs>3</Paragraphs>
  <TotalTime>9</TotalTime>
  <ScaleCrop>false</ScaleCrop>
  <LinksUpToDate>false</LinksUpToDate>
  <CharactersWithSpaces>1977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2022-11-01T12:04:00Z</dcterms:created>
  <dc:creator>郑 怡雯</dc:creator>
  <cp:lastModifiedBy>关耳</cp:lastModifiedBy>
  <dcterms:modified xsi:type="dcterms:W3CDTF">2023-05-26T08:00:45Z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8D9C797DF40E48AFA2C77259BEFF9181_13</vt:lpwstr>
  </property>
</Properties>
</file>