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附件2</w:t>
      </w:r>
    </w:p>
    <w:p>
      <w:pP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" w:cs="Times New Roman"/>
          <w:b/>
          <w:bCs/>
          <w:sz w:val="40"/>
          <w:szCs w:val="48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8"/>
          <w:lang w:val="en-US" w:eastAsia="zh-CN"/>
        </w:rPr>
        <w:t>滇南内分泌代谢病论坛</w:t>
      </w:r>
      <w:r>
        <w:rPr>
          <w:rFonts w:ascii="Times New Roman" w:hAnsi="Times New Roman" w:eastAsia="仿宋" w:cs="Times New Roman"/>
          <w:b/>
          <w:bCs/>
          <w:sz w:val="40"/>
          <w:szCs w:val="48"/>
        </w:rPr>
        <w:t>日程安排</w:t>
      </w:r>
    </w:p>
    <w:tbl>
      <w:tblPr>
        <w:tblStyle w:val="5"/>
        <w:tblW w:w="8628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5400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32"/>
              </w:rPr>
              <w:t>内 容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2023年9月1日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:00-1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:00 线上测试</w:t>
            </w:r>
          </w:p>
        </w:tc>
        <w:tc>
          <w:tcPr>
            <w:tcW w:w="1308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黄荣芬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2023年9月2 日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8:00-8:30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签到</w:t>
            </w:r>
          </w:p>
        </w:tc>
        <w:tc>
          <w:tcPr>
            <w:tcW w:w="1308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8:00-8:30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1、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开幕式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医院领导致辞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特邀嘉宾致辞</w:t>
            </w:r>
          </w:p>
        </w:tc>
        <w:tc>
          <w:tcPr>
            <w:tcW w:w="1308" w:type="dxa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8:30-9:10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低血糖的诊断与鉴别诊断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——北京协和医院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李玉秀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9:10-9:40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严重胰岛素抵抗的诊疗思路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——北京协和医院许岭翎教授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9:40-10:20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糖尿病分型及诊断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——昆明医科大学第一附属医院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徐玉善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10:20-11:00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骨代谢标志物简介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——昆明医科大学第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二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附属医院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柯亭羽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钟若英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11:00-11:30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《妊娠高血糖诊治指南（2022）》解读</w:t>
            </w:r>
          </w:p>
          <w:p>
            <w:pPr>
              <w:spacing w:line="3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昆明医科大学第一附属医院李会芳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教授</w:t>
            </w:r>
          </w:p>
        </w:tc>
        <w:tc>
          <w:tcPr>
            <w:tcW w:w="1308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11:30-12:00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高泌乳素血症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向茜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20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13:40-14:00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签到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14:00-14:40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老年2型糖尿病诊治指南解读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钟若英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文春芳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14:40-15:20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先天性肾上腺皮质增生症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北京协和医院卢琳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15:20-16:00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更年期妇女健康管理专家共识解读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刘寒梅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张丽琼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16:00-16:40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糖尿病脊髓病变的诊断与鉴别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苏跃康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16:40-17:20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肌骨超声在内分泌代谢性疾病中的应用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丁丁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李燕来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17:20-18:00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糖尿病相关眼病防治多学科中国专家共识（2021版）——红河州滇南中心医院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杨春副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2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2023年9月3日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8:00-8:30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签到</w:t>
            </w:r>
          </w:p>
        </w:tc>
        <w:tc>
          <w:tcPr>
            <w:tcW w:w="1308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8:00-8:40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高尿酸血症与痛风肾病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——上海复旦大学附属中山医院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滕杰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8:40-9:20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代谢相关性脂肪性肝病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——上海复旦大学附属中山医院卞华教授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9:20-10:00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低钾血症病例讨论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——福建省立医院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梁继兴教授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阮小荟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10:00-10:40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中国绝经管理与绝经激素治疗指南（2018）解读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——云南省第三人民医院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桂莉教授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10:40-11:20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多囊卵巢综合征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——云南省第一人民医院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袁涛教授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11:20-12:00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SGLT2抑制剂相关性酮症酸中毒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——楚雄州人民医院王玲教授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20" w:type="dxa"/>
            <w:gridSpan w:val="2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13:40-14:00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签到</w:t>
            </w:r>
          </w:p>
        </w:tc>
        <w:tc>
          <w:tcPr>
            <w:tcW w:w="1308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14:00-1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4:40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高尿酸血症临床诊治中关注的问题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——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北京协和医院袁涛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白云霞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14:40-15:20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库欣综合征的实验室检查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黄静副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2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15:20-16:00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免疫检查点抑制剂引起的内分泌系统免疫相关不良反应——红河州滇南中心医院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张燕副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黄静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16:00-16:30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2型糖尿病合并慢性肾脏病患者多重用药安全中国专家共识——红河州滇南中心医院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郭燕副教授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16:30-17:00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肾上腺CT的影像学解读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——红河州滇南中心医院普晓江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副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17:00-17:30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糖尿病肾病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白云霞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restart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val="en-US" w:eastAsia="zh-CN"/>
              </w:rPr>
              <w:t>兰俊香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0" w:type="dxa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17:30-18:00</w:t>
            </w:r>
          </w:p>
        </w:tc>
        <w:tc>
          <w:tcPr>
            <w:tcW w:w="5400" w:type="dxa"/>
          </w:tcPr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糖尿病与结核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——红河州滇南中心医院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饶振译副</w:t>
            </w: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教授</w:t>
            </w:r>
          </w:p>
        </w:tc>
        <w:tc>
          <w:tcPr>
            <w:tcW w:w="1308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0-18:</w:t>
            </w:r>
            <w:r>
              <w:rPr>
                <w:rFonts w:hint="eastAsia" w:ascii="Times New Roman" w:hAnsi="Times New Roman" w:eastAsia="仿宋" w:cs="Times New Roman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54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会议总结</w:t>
            </w:r>
          </w:p>
        </w:tc>
        <w:tc>
          <w:tcPr>
            <w:tcW w:w="1308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2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18:10</w:t>
            </w:r>
          </w:p>
        </w:tc>
        <w:tc>
          <w:tcPr>
            <w:tcW w:w="540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会议问卷调查及网络签到（继教通）</w:t>
            </w:r>
          </w:p>
        </w:tc>
        <w:tc>
          <w:tcPr>
            <w:tcW w:w="130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王剑</w:t>
            </w:r>
          </w:p>
        </w:tc>
      </w:tr>
    </w:tbl>
    <w:p>
      <w:pPr>
        <w:rPr>
          <w:rFonts w:ascii="Times New Roman" w:hAnsi="Times New Roman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0EA5E"/>
    <w:multiLevelType w:val="singleLevel"/>
    <w:tmpl w:val="1CA0EA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OWRiMzk4NWNmNWIyOGVhZWE5ZDkwNmJjZGY3MzEifQ=="/>
  </w:docVars>
  <w:rsids>
    <w:rsidRoot w:val="00432C83"/>
    <w:rsid w:val="000D49E5"/>
    <w:rsid w:val="001A1201"/>
    <w:rsid w:val="002C4369"/>
    <w:rsid w:val="00432C83"/>
    <w:rsid w:val="00547C5E"/>
    <w:rsid w:val="005C7768"/>
    <w:rsid w:val="005F4D7A"/>
    <w:rsid w:val="00887FE9"/>
    <w:rsid w:val="00AC1BF4"/>
    <w:rsid w:val="00B704E3"/>
    <w:rsid w:val="00D53E2A"/>
    <w:rsid w:val="014369FF"/>
    <w:rsid w:val="0632625C"/>
    <w:rsid w:val="079B2930"/>
    <w:rsid w:val="0B253FF2"/>
    <w:rsid w:val="0E54101D"/>
    <w:rsid w:val="0F12434D"/>
    <w:rsid w:val="11DA1F57"/>
    <w:rsid w:val="16B234A2"/>
    <w:rsid w:val="1AA3224C"/>
    <w:rsid w:val="1C7C1EB6"/>
    <w:rsid w:val="21D84F25"/>
    <w:rsid w:val="25E160EF"/>
    <w:rsid w:val="2666570F"/>
    <w:rsid w:val="270E64D3"/>
    <w:rsid w:val="28D177B8"/>
    <w:rsid w:val="29363ABF"/>
    <w:rsid w:val="2A211624"/>
    <w:rsid w:val="316E3E33"/>
    <w:rsid w:val="31CC22E2"/>
    <w:rsid w:val="37D84772"/>
    <w:rsid w:val="37DC752D"/>
    <w:rsid w:val="39E501F8"/>
    <w:rsid w:val="3CF24113"/>
    <w:rsid w:val="3DBF59D9"/>
    <w:rsid w:val="3DC71D8A"/>
    <w:rsid w:val="3E027FBC"/>
    <w:rsid w:val="3EEE461E"/>
    <w:rsid w:val="41083B3B"/>
    <w:rsid w:val="41454A4E"/>
    <w:rsid w:val="41BA4CFA"/>
    <w:rsid w:val="422B5D33"/>
    <w:rsid w:val="45533AA0"/>
    <w:rsid w:val="49F123AF"/>
    <w:rsid w:val="4BAC1569"/>
    <w:rsid w:val="4C583BC9"/>
    <w:rsid w:val="4C672A37"/>
    <w:rsid w:val="503537EE"/>
    <w:rsid w:val="51674229"/>
    <w:rsid w:val="51FA127E"/>
    <w:rsid w:val="5795220B"/>
    <w:rsid w:val="580167EF"/>
    <w:rsid w:val="59020359"/>
    <w:rsid w:val="5943427E"/>
    <w:rsid w:val="613100ED"/>
    <w:rsid w:val="6A267270"/>
    <w:rsid w:val="6AE90201"/>
    <w:rsid w:val="6BC73B27"/>
    <w:rsid w:val="6C1A6C81"/>
    <w:rsid w:val="6D066D05"/>
    <w:rsid w:val="6E4C2A0A"/>
    <w:rsid w:val="6EDF7628"/>
    <w:rsid w:val="70DD12E4"/>
    <w:rsid w:val="71D91CAC"/>
    <w:rsid w:val="720631D3"/>
    <w:rsid w:val="738B5D82"/>
    <w:rsid w:val="73AD5CF9"/>
    <w:rsid w:val="746D1174"/>
    <w:rsid w:val="74726749"/>
    <w:rsid w:val="76783DB3"/>
    <w:rsid w:val="7A0223B8"/>
    <w:rsid w:val="7B1976F6"/>
    <w:rsid w:val="7FE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1131</Characters>
  <Lines>7</Lines>
  <Paragraphs>6</Paragraphs>
  <TotalTime>0</TotalTime>
  <ScaleCrop>false</ScaleCrop>
  <LinksUpToDate>false</LinksUpToDate>
  <CharactersWithSpaces>1134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2023-07-11T14:54:00Z</dcterms:created>
  <dc:creator>Administrator</dc:creator>
  <cp:lastModifiedBy>桐桐桐zz</cp:lastModifiedBy>
  <dcterms:modified xsi:type="dcterms:W3CDTF">2023-08-22T05:35:45Z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8B5531E8462C4F2299A996C07A5BBAE8_13</vt:lpwstr>
  </property>
</Properties>
</file>