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94" w:rsidRDefault="00710B94">
      <w:pPr>
        <w:rPr>
          <w:rFonts w:ascii="Times New Roman" w:eastAsiaTheme="minorEastAsia" w:hAnsi="Times New Roman"/>
          <w:b/>
          <w:sz w:val="30"/>
          <w:szCs w:val="30"/>
        </w:rPr>
      </w:pPr>
    </w:p>
    <w:p w:rsidR="00710B94" w:rsidRDefault="005E26FA">
      <w:pPr>
        <w:rPr>
          <w:rFonts w:ascii="Times New Roman" w:eastAsiaTheme="minorEastAsia" w:hAnsi="Times New Roman"/>
          <w:b/>
          <w:sz w:val="30"/>
          <w:szCs w:val="30"/>
        </w:rPr>
      </w:pPr>
      <w:r>
        <w:rPr>
          <w:rFonts w:ascii="Times New Roman" w:eastAsiaTheme="minorEastAsia" w:hAnsi="Times New Roman" w:hint="eastAsia"/>
          <w:b/>
          <w:sz w:val="30"/>
          <w:szCs w:val="30"/>
        </w:rPr>
        <w:t>“</w:t>
      </w:r>
      <w:r>
        <w:rPr>
          <w:rFonts w:ascii="Times New Roman" w:eastAsiaTheme="minorEastAsia" w:hAnsi="Times New Roman"/>
          <w:b/>
          <w:sz w:val="30"/>
          <w:szCs w:val="30"/>
        </w:rPr>
        <w:t>十一五</w:t>
      </w:r>
      <w:r>
        <w:rPr>
          <w:rFonts w:ascii="Times New Roman" w:eastAsiaTheme="minorEastAsia" w:hAnsi="Times New Roman" w:hint="eastAsia"/>
          <w:b/>
          <w:sz w:val="30"/>
          <w:szCs w:val="30"/>
        </w:rPr>
        <w:t>”</w:t>
      </w:r>
      <w:r>
        <w:rPr>
          <w:rFonts w:ascii="Times New Roman" w:eastAsiaTheme="minorEastAsia" w:hAnsi="Times New Roman"/>
          <w:b/>
          <w:sz w:val="30"/>
          <w:szCs w:val="30"/>
        </w:rPr>
        <w:t>至</w:t>
      </w:r>
      <w:r>
        <w:rPr>
          <w:rFonts w:ascii="Times New Roman" w:eastAsiaTheme="minorEastAsia" w:hAnsi="Times New Roman" w:hint="eastAsia"/>
          <w:b/>
          <w:sz w:val="30"/>
          <w:szCs w:val="30"/>
        </w:rPr>
        <w:t>“</w:t>
      </w:r>
      <w:r>
        <w:rPr>
          <w:rFonts w:ascii="Times New Roman" w:eastAsiaTheme="minorEastAsia" w:hAnsi="Times New Roman"/>
          <w:b/>
          <w:sz w:val="30"/>
          <w:szCs w:val="30"/>
        </w:rPr>
        <w:t>十三五</w:t>
      </w:r>
      <w:r>
        <w:rPr>
          <w:rFonts w:ascii="Times New Roman" w:eastAsiaTheme="minorEastAsia" w:hAnsi="Times New Roman" w:hint="eastAsia"/>
          <w:b/>
          <w:sz w:val="30"/>
          <w:szCs w:val="30"/>
        </w:rPr>
        <w:t>”</w:t>
      </w:r>
      <w:r>
        <w:rPr>
          <w:rFonts w:ascii="Times New Roman" w:eastAsiaTheme="minorEastAsia" w:hAnsi="Times New Roman"/>
          <w:b/>
          <w:sz w:val="30"/>
          <w:szCs w:val="30"/>
        </w:rPr>
        <w:t>期间天津市职业中毒发病特征分析及防治</w:t>
      </w:r>
    </w:p>
    <w:p w:rsidR="00710B94" w:rsidRDefault="005E26FA">
      <w:pPr>
        <w:spacing w:line="360" w:lineRule="auto"/>
        <w:jc w:val="left"/>
        <w:rPr>
          <w:rFonts w:ascii="Times New Roman" w:hAnsi="Times New Roman"/>
          <w:sz w:val="24"/>
          <w:szCs w:val="24"/>
        </w:rPr>
      </w:pPr>
      <w:r>
        <w:rPr>
          <w:rFonts w:ascii="Times New Roman" w:hAnsi="Times New Roman" w:hint="eastAsia"/>
          <w:sz w:val="24"/>
          <w:szCs w:val="24"/>
        </w:rPr>
        <w:t>高雅、</w:t>
      </w:r>
      <w:r>
        <w:rPr>
          <w:rFonts w:ascii="Times New Roman" w:hAnsi="Times New Roman" w:hint="eastAsia"/>
          <w:sz w:val="24"/>
          <w:szCs w:val="24"/>
        </w:rPr>
        <w:t>王欣、曾强、白羽</w:t>
      </w:r>
      <w:r>
        <w:rPr>
          <w:rFonts w:ascii="Times New Roman" w:hAnsi="Times New Roman"/>
          <w:sz w:val="24"/>
          <w:szCs w:val="24"/>
        </w:rPr>
        <w:softHyphen/>
      </w:r>
      <w:r>
        <w:rPr>
          <w:rFonts w:ascii="Times New Roman" w:hAnsi="Times New Roman"/>
          <w:sz w:val="24"/>
          <w:szCs w:val="24"/>
        </w:rPr>
        <w:softHyphen/>
      </w:r>
    </w:p>
    <w:p w:rsidR="00710B94" w:rsidRDefault="005E26FA">
      <w:pPr>
        <w:spacing w:line="360" w:lineRule="auto"/>
        <w:jc w:val="left"/>
        <w:rPr>
          <w:rFonts w:ascii="Times New Roman" w:hAnsi="Times New Roman"/>
          <w:b/>
          <w:sz w:val="24"/>
          <w:szCs w:val="24"/>
        </w:rPr>
      </w:pPr>
      <w:r>
        <w:rPr>
          <w:rFonts w:ascii="Times New Roman" w:hAnsi="Times New Roman"/>
          <w:sz w:val="24"/>
          <w:szCs w:val="24"/>
        </w:rPr>
        <w:t xml:space="preserve">300011 </w:t>
      </w:r>
      <w:r>
        <w:rPr>
          <w:rFonts w:ascii="Times New Roman" w:hAnsi="Times New Roman"/>
          <w:sz w:val="24"/>
          <w:szCs w:val="24"/>
        </w:rPr>
        <w:t>天津</w:t>
      </w:r>
      <w:r>
        <w:rPr>
          <w:rFonts w:ascii="Times New Roman" w:hAnsi="Times New Roman"/>
          <w:sz w:val="24"/>
          <w:szCs w:val="24"/>
        </w:rPr>
        <w:t xml:space="preserve"> </w:t>
      </w:r>
      <w:r>
        <w:rPr>
          <w:rFonts w:ascii="Times New Roman" w:hAnsi="Times New Roman"/>
          <w:sz w:val="24"/>
          <w:szCs w:val="24"/>
        </w:rPr>
        <w:t>天津市疾病预防控制中心</w:t>
      </w:r>
      <w:r>
        <w:rPr>
          <w:rFonts w:ascii="Times New Roman" w:hAnsi="Times New Roman" w:hint="eastAsia"/>
          <w:sz w:val="24"/>
          <w:szCs w:val="24"/>
        </w:rPr>
        <w:t>职业健康研究所</w:t>
      </w:r>
    </w:p>
    <w:p w:rsidR="00710B94" w:rsidRDefault="005E26FA">
      <w:pPr>
        <w:spacing w:line="360" w:lineRule="auto"/>
        <w:jc w:val="left"/>
        <w:rPr>
          <w:rFonts w:ascii="Times New Roman" w:hAnsi="Times New Roman"/>
          <w:sz w:val="24"/>
          <w:szCs w:val="24"/>
        </w:rPr>
      </w:pPr>
      <w:r>
        <w:rPr>
          <w:rFonts w:ascii="Times New Roman" w:hAnsi="Times New Roman" w:hint="eastAsia"/>
          <w:sz w:val="24"/>
          <w:szCs w:val="24"/>
        </w:rPr>
        <w:t>通信作者：王欣，邮箱：</w:t>
      </w:r>
      <w:r>
        <w:rPr>
          <w:rFonts w:ascii="Times New Roman" w:hAnsi="Times New Roman" w:hint="eastAsia"/>
          <w:sz w:val="24"/>
          <w:szCs w:val="24"/>
        </w:rPr>
        <w:t>h_angel@126.com</w:t>
      </w:r>
    </w:p>
    <w:p w:rsidR="00710B94" w:rsidRDefault="005E26FA">
      <w:pPr>
        <w:spacing w:line="360" w:lineRule="auto"/>
        <w:ind w:firstLineChars="200" w:firstLine="482"/>
        <w:rPr>
          <w:rFonts w:ascii="Times New Roman" w:hAnsi="Times New Roman"/>
          <w:sz w:val="24"/>
          <w:szCs w:val="24"/>
        </w:rPr>
      </w:pPr>
      <w:r>
        <w:rPr>
          <w:rFonts w:ascii="Times New Roman" w:hAnsi="Times New Roman"/>
          <w:b/>
          <w:bCs/>
          <w:kern w:val="0"/>
          <w:sz w:val="24"/>
          <w:szCs w:val="24"/>
        </w:rPr>
        <w:t>【</w:t>
      </w:r>
      <w:r>
        <w:rPr>
          <w:rFonts w:ascii="Times New Roman" w:hAnsi="Times New Roman"/>
          <w:b/>
          <w:sz w:val="24"/>
          <w:szCs w:val="24"/>
        </w:rPr>
        <w:t>摘要</w:t>
      </w:r>
      <w:r>
        <w:rPr>
          <w:rFonts w:ascii="Times New Roman" w:hAnsi="Times New Roman"/>
          <w:b/>
          <w:bCs/>
          <w:kern w:val="0"/>
          <w:sz w:val="24"/>
          <w:szCs w:val="24"/>
        </w:rPr>
        <w:t>】</w:t>
      </w:r>
      <w:r>
        <w:rPr>
          <w:rFonts w:ascii="Times New Roman" w:hAnsi="Times New Roman"/>
          <w:b/>
          <w:sz w:val="24"/>
          <w:szCs w:val="24"/>
        </w:rPr>
        <w:t>目的</w:t>
      </w:r>
      <w:r>
        <w:rPr>
          <w:rFonts w:ascii="Times New Roman" w:hAnsi="Times New Roman"/>
          <w:b/>
          <w:sz w:val="24"/>
          <w:szCs w:val="24"/>
        </w:rPr>
        <w:t xml:space="preserve"> </w:t>
      </w:r>
      <w:r>
        <w:rPr>
          <w:rFonts w:ascii="Times New Roman" w:hAnsi="Times New Roman"/>
          <w:sz w:val="24"/>
          <w:szCs w:val="24"/>
        </w:rPr>
        <w:t>分析</w:t>
      </w:r>
      <w:r>
        <w:rPr>
          <w:rFonts w:ascii="Times New Roman" w:hAnsi="Times New Roman"/>
          <w:sz w:val="24"/>
          <w:szCs w:val="24"/>
        </w:rPr>
        <w:t>“</w:t>
      </w:r>
      <w:r>
        <w:rPr>
          <w:rFonts w:ascii="Times New Roman" w:hAnsi="Times New Roman"/>
          <w:sz w:val="24"/>
          <w:szCs w:val="24"/>
        </w:rPr>
        <w:t>十一五</w:t>
      </w:r>
      <w:r>
        <w:rPr>
          <w:rFonts w:ascii="Times New Roman" w:hAnsi="Times New Roman"/>
          <w:sz w:val="24"/>
          <w:szCs w:val="24"/>
        </w:rPr>
        <w:t>”</w:t>
      </w:r>
      <w:r>
        <w:rPr>
          <w:rFonts w:ascii="Times New Roman" w:hAnsi="Times New Roman"/>
          <w:sz w:val="24"/>
          <w:szCs w:val="24"/>
        </w:rPr>
        <w:t>至</w:t>
      </w:r>
      <w:r>
        <w:rPr>
          <w:rFonts w:ascii="Times New Roman" w:hAnsi="Times New Roman"/>
          <w:sz w:val="24"/>
          <w:szCs w:val="24"/>
        </w:rPr>
        <w:t>“</w:t>
      </w:r>
      <w:r>
        <w:rPr>
          <w:rFonts w:ascii="Times New Roman" w:hAnsi="Times New Roman"/>
          <w:sz w:val="24"/>
          <w:szCs w:val="24"/>
        </w:rPr>
        <w:t>十三五</w:t>
      </w:r>
      <w:r>
        <w:rPr>
          <w:rFonts w:ascii="Times New Roman" w:hAnsi="Times New Roman"/>
          <w:sz w:val="24"/>
          <w:szCs w:val="24"/>
        </w:rPr>
        <w:t>”</w:t>
      </w:r>
      <w:r>
        <w:rPr>
          <w:rFonts w:ascii="Times New Roman" w:hAnsi="Times New Roman"/>
          <w:sz w:val="24"/>
          <w:szCs w:val="24"/>
        </w:rPr>
        <w:t>至期间天津市职业中毒发病特点和规律，为制定有效的干预措施和防治策略提供科学依据。</w:t>
      </w:r>
      <w:r>
        <w:rPr>
          <w:rFonts w:ascii="Times New Roman" w:hAnsi="Times New Roman"/>
          <w:b/>
          <w:bCs/>
          <w:sz w:val="24"/>
          <w:szCs w:val="24"/>
        </w:rPr>
        <w:t>方法</w:t>
      </w:r>
      <w:r>
        <w:rPr>
          <w:rFonts w:ascii="Times New Roman" w:hAnsi="Times New Roman"/>
          <w:sz w:val="24"/>
          <w:szCs w:val="24"/>
        </w:rPr>
        <w:t xml:space="preserve"> </w:t>
      </w:r>
      <w:r>
        <w:rPr>
          <w:rFonts w:ascii="Times New Roman" w:hAnsi="Times New Roman"/>
          <w:sz w:val="24"/>
          <w:szCs w:val="24"/>
        </w:rPr>
        <w:t>根据</w:t>
      </w:r>
      <w:r>
        <w:rPr>
          <w:rFonts w:ascii="Times New Roman" w:hAnsi="Times New Roman"/>
          <w:sz w:val="24"/>
          <w:szCs w:val="24"/>
        </w:rPr>
        <w:t>2006</w:t>
      </w:r>
      <w:r>
        <w:rPr>
          <w:rFonts w:ascii="Times New Roman" w:hAnsi="Times New Roman"/>
          <w:sz w:val="24"/>
          <w:szCs w:val="24"/>
        </w:rPr>
        <w:t>至</w:t>
      </w:r>
      <w:r>
        <w:rPr>
          <w:rFonts w:ascii="Times New Roman" w:hAnsi="Times New Roman"/>
          <w:sz w:val="24"/>
          <w:szCs w:val="24"/>
        </w:rPr>
        <w:t>2020</w:t>
      </w:r>
      <w:r>
        <w:rPr>
          <w:rFonts w:ascii="Times New Roman" w:hAnsi="Times New Roman"/>
          <w:sz w:val="24"/>
          <w:szCs w:val="24"/>
        </w:rPr>
        <w:t>年</w:t>
      </w:r>
      <w:r>
        <w:rPr>
          <w:rFonts w:ascii="Times New Roman" w:hAnsi="Times New Roman"/>
          <w:sz w:val="24"/>
          <w:szCs w:val="24"/>
        </w:rPr>
        <w:t>“</w:t>
      </w:r>
      <w:r>
        <w:rPr>
          <w:rFonts w:ascii="Times New Roman" w:hAnsi="Times New Roman"/>
          <w:sz w:val="24"/>
          <w:szCs w:val="24"/>
        </w:rPr>
        <w:t>职业病及健康危害因素监测信息系统</w:t>
      </w:r>
      <w:r>
        <w:rPr>
          <w:rFonts w:ascii="Times New Roman" w:hAnsi="Times New Roman"/>
          <w:sz w:val="24"/>
          <w:szCs w:val="24"/>
        </w:rPr>
        <w:t>”</w:t>
      </w:r>
      <w:r>
        <w:rPr>
          <w:rFonts w:ascii="Times New Roman" w:hAnsi="Times New Roman"/>
          <w:sz w:val="24"/>
          <w:szCs w:val="24"/>
        </w:rPr>
        <w:t>天津市职业中毒的数据资料，经</w:t>
      </w:r>
      <w:r>
        <w:rPr>
          <w:rFonts w:ascii="Times New Roman" w:hAnsi="Times New Roman"/>
          <w:sz w:val="24"/>
          <w:szCs w:val="24"/>
        </w:rPr>
        <w:t>EXCEL</w:t>
      </w:r>
      <w:r>
        <w:rPr>
          <w:rFonts w:ascii="Times New Roman" w:hAnsi="Times New Roman"/>
          <w:sz w:val="24"/>
          <w:szCs w:val="24"/>
        </w:rPr>
        <w:t>表格整理后，使用</w:t>
      </w:r>
      <w:r>
        <w:rPr>
          <w:rFonts w:ascii="Times New Roman" w:hAnsi="Times New Roman"/>
          <w:sz w:val="24"/>
          <w:szCs w:val="24"/>
        </w:rPr>
        <w:t>SPSS</w:t>
      </w:r>
      <w:r>
        <w:rPr>
          <w:rFonts w:ascii="Times New Roman" w:hAnsi="Times New Roman"/>
          <w:sz w:val="24"/>
          <w:szCs w:val="24"/>
        </w:rPr>
        <w:t>软件对数据资料进行流行病学统计分析。</w:t>
      </w:r>
      <w:r>
        <w:rPr>
          <w:rFonts w:ascii="Times New Roman" w:hAnsi="Times New Roman"/>
          <w:b/>
          <w:bCs/>
          <w:sz w:val="24"/>
          <w:szCs w:val="24"/>
        </w:rPr>
        <w:t> </w:t>
      </w:r>
      <w:r>
        <w:rPr>
          <w:rFonts w:ascii="Times New Roman" w:hAnsi="Times New Roman"/>
          <w:b/>
          <w:bCs/>
          <w:sz w:val="24"/>
          <w:szCs w:val="24"/>
        </w:rPr>
        <w:t>结果</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sz w:val="24"/>
          <w:szCs w:val="24"/>
        </w:rPr>
        <w:t>十一五</w:t>
      </w:r>
      <w:r>
        <w:rPr>
          <w:rFonts w:ascii="Times New Roman" w:hAnsi="Times New Roman"/>
          <w:sz w:val="24"/>
          <w:szCs w:val="24"/>
        </w:rPr>
        <w:t>”</w:t>
      </w:r>
      <w:r>
        <w:rPr>
          <w:rFonts w:ascii="Times New Roman" w:hAnsi="Times New Roman"/>
          <w:sz w:val="24"/>
          <w:szCs w:val="24"/>
        </w:rPr>
        <w:t>至</w:t>
      </w:r>
      <w:r>
        <w:rPr>
          <w:rFonts w:ascii="Times New Roman" w:hAnsi="Times New Roman"/>
          <w:sz w:val="24"/>
          <w:szCs w:val="24"/>
        </w:rPr>
        <w:t>“</w:t>
      </w:r>
      <w:r>
        <w:rPr>
          <w:rFonts w:ascii="Times New Roman" w:hAnsi="Times New Roman"/>
          <w:sz w:val="24"/>
          <w:szCs w:val="24"/>
        </w:rPr>
        <w:t>十三五</w:t>
      </w:r>
      <w:r>
        <w:rPr>
          <w:rFonts w:ascii="Times New Roman" w:hAnsi="Times New Roman"/>
          <w:sz w:val="24"/>
          <w:szCs w:val="24"/>
        </w:rPr>
        <w:t>”</w:t>
      </w:r>
      <w:r>
        <w:rPr>
          <w:rFonts w:ascii="Times New Roman" w:hAnsi="Times New Roman"/>
          <w:sz w:val="24"/>
          <w:szCs w:val="24"/>
        </w:rPr>
        <w:t>期间天津市累计报告职业性化学中毒共</w:t>
      </w:r>
      <w:r>
        <w:rPr>
          <w:rFonts w:ascii="Times New Roman" w:hAnsi="Times New Roman"/>
          <w:sz w:val="24"/>
          <w:szCs w:val="24"/>
        </w:rPr>
        <w:t>234</w:t>
      </w:r>
      <w:r>
        <w:rPr>
          <w:rFonts w:ascii="Times New Roman" w:hAnsi="Times New Roman"/>
          <w:sz w:val="24"/>
          <w:szCs w:val="24"/>
        </w:rPr>
        <w:t>例，其中</w:t>
      </w:r>
      <w:r>
        <w:rPr>
          <w:rFonts w:ascii="Times New Roman" w:hAnsi="Times New Roman"/>
          <w:sz w:val="24"/>
          <w:szCs w:val="24"/>
        </w:rPr>
        <w:t>急性职业中毒</w:t>
      </w:r>
      <w:r>
        <w:rPr>
          <w:rFonts w:ascii="Times New Roman" w:hAnsi="Times New Roman"/>
          <w:sz w:val="24"/>
          <w:szCs w:val="24"/>
        </w:rPr>
        <w:t>49</w:t>
      </w:r>
      <w:r>
        <w:rPr>
          <w:rFonts w:ascii="Times New Roman" w:hAnsi="Times New Roman"/>
          <w:sz w:val="24"/>
          <w:szCs w:val="24"/>
        </w:rPr>
        <w:t>例，慢性职业中毒</w:t>
      </w:r>
      <w:r>
        <w:rPr>
          <w:rFonts w:ascii="Times New Roman" w:hAnsi="Times New Roman"/>
          <w:sz w:val="24"/>
          <w:szCs w:val="24"/>
        </w:rPr>
        <w:t>185</w:t>
      </w:r>
      <w:r>
        <w:rPr>
          <w:rFonts w:ascii="Times New Roman" w:hAnsi="Times New Roman"/>
          <w:sz w:val="24"/>
          <w:szCs w:val="24"/>
        </w:rPr>
        <w:t>例。</w:t>
      </w:r>
      <w:r>
        <w:rPr>
          <w:rFonts w:ascii="Times New Roman" w:hAnsi="Times New Roman"/>
          <w:sz w:val="24"/>
          <w:szCs w:val="24"/>
        </w:rPr>
        <w:t>急性职业中毒病例数呈先上升后下降趋势，慢性职业中毒病例</w:t>
      </w:r>
      <w:proofErr w:type="gramStart"/>
      <w:r>
        <w:rPr>
          <w:rFonts w:ascii="Times New Roman" w:hAnsi="Times New Roman"/>
          <w:sz w:val="24"/>
          <w:szCs w:val="24"/>
        </w:rPr>
        <w:t>数整体</w:t>
      </w:r>
      <w:proofErr w:type="gramEnd"/>
      <w:r>
        <w:rPr>
          <w:rFonts w:ascii="Times New Roman" w:hAnsi="Times New Roman"/>
          <w:sz w:val="24"/>
          <w:szCs w:val="24"/>
        </w:rPr>
        <w:t>呈下降趋势。</w:t>
      </w:r>
      <w:proofErr w:type="gramStart"/>
      <w:r>
        <w:rPr>
          <w:rFonts w:ascii="Times New Roman" w:hAnsi="Times New Roman"/>
          <w:sz w:val="24"/>
          <w:szCs w:val="24"/>
        </w:rPr>
        <w:t>环城四</w:t>
      </w:r>
      <w:proofErr w:type="gramEnd"/>
      <w:r>
        <w:rPr>
          <w:rFonts w:ascii="Times New Roman" w:hAnsi="Times New Roman"/>
          <w:sz w:val="24"/>
          <w:szCs w:val="24"/>
        </w:rPr>
        <w:t>区</w:t>
      </w:r>
      <w:r>
        <w:rPr>
          <w:rFonts w:ascii="Times New Roman" w:hAnsi="Times New Roman"/>
          <w:sz w:val="24"/>
          <w:szCs w:val="24"/>
        </w:rPr>
        <w:t>急性职业中毒报告病例数比例较高</w:t>
      </w:r>
      <w:r>
        <w:rPr>
          <w:rFonts w:ascii="Times New Roman" w:hAnsi="Times New Roman"/>
          <w:sz w:val="24"/>
          <w:szCs w:val="24"/>
        </w:rPr>
        <w:t>，</w:t>
      </w:r>
      <w:r>
        <w:rPr>
          <w:rFonts w:ascii="Times New Roman" w:hAnsi="Times New Roman"/>
          <w:sz w:val="24"/>
          <w:szCs w:val="24"/>
        </w:rPr>
        <w:t>滨海新区</w:t>
      </w:r>
      <w:r>
        <w:rPr>
          <w:rFonts w:ascii="Times New Roman" w:hAnsi="Times New Roman"/>
          <w:sz w:val="24"/>
          <w:szCs w:val="24"/>
        </w:rPr>
        <w:t>慢性职业中毒</w:t>
      </w:r>
      <w:r>
        <w:rPr>
          <w:rFonts w:ascii="Times New Roman" w:hAnsi="Times New Roman"/>
          <w:sz w:val="24"/>
          <w:szCs w:val="24"/>
        </w:rPr>
        <w:t>报告病例数比例较高</w:t>
      </w:r>
      <w:r>
        <w:rPr>
          <w:rFonts w:ascii="Times New Roman" w:hAnsi="Times New Roman"/>
          <w:sz w:val="24"/>
          <w:szCs w:val="24"/>
        </w:rPr>
        <w:t>。</w:t>
      </w:r>
      <w:r>
        <w:rPr>
          <w:rFonts w:ascii="Times New Roman" w:hAnsi="Times New Roman"/>
          <w:sz w:val="24"/>
          <w:szCs w:val="24"/>
        </w:rPr>
        <w:t>男性</w:t>
      </w:r>
      <w:r>
        <w:rPr>
          <w:rFonts w:ascii="Times New Roman" w:hAnsi="Times New Roman"/>
          <w:sz w:val="24"/>
          <w:szCs w:val="24"/>
        </w:rPr>
        <w:t>职业中毒</w:t>
      </w:r>
      <w:r>
        <w:rPr>
          <w:rFonts w:ascii="Times New Roman" w:hAnsi="Times New Roman"/>
          <w:sz w:val="24"/>
          <w:szCs w:val="24"/>
        </w:rPr>
        <w:t>病例明显高于女性。发病年龄集中于</w:t>
      </w:r>
      <w:r>
        <w:rPr>
          <w:rFonts w:ascii="Times New Roman" w:hAnsi="Times New Roman"/>
          <w:sz w:val="24"/>
          <w:szCs w:val="24"/>
        </w:rPr>
        <w:t>45~55</w:t>
      </w:r>
      <w:r>
        <w:rPr>
          <w:rFonts w:ascii="Times New Roman" w:hAnsi="Times New Roman"/>
          <w:sz w:val="24"/>
          <w:szCs w:val="24"/>
        </w:rPr>
        <w:t>岁，</w:t>
      </w:r>
      <w:r>
        <w:rPr>
          <w:rFonts w:ascii="Times New Roman" w:hAnsi="Times New Roman"/>
          <w:sz w:val="24"/>
          <w:szCs w:val="24"/>
        </w:rPr>
        <w:t>急性职业中毒病例</w:t>
      </w:r>
      <w:r>
        <w:rPr>
          <w:rFonts w:ascii="Times New Roman" w:hAnsi="Times New Roman"/>
          <w:sz w:val="24"/>
          <w:szCs w:val="24"/>
        </w:rPr>
        <w:t>工龄不足一年人数最多，</w:t>
      </w:r>
      <w:r>
        <w:rPr>
          <w:rFonts w:ascii="Times New Roman" w:hAnsi="Times New Roman"/>
          <w:sz w:val="24"/>
          <w:szCs w:val="24"/>
        </w:rPr>
        <w:t>以窒息性气体</w:t>
      </w:r>
      <w:r>
        <w:rPr>
          <w:rFonts w:ascii="Times New Roman" w:hAnsi="Times New Roman"/>
          <w:sz w:val="24"/>
          <w:szCs w:val="24"/>
        </w:rPr>
        <w:t>中毒</w:t>
      </w:r>
      <w:r>
        <w:rPr>
          <w:rFonts w:ascii="Times New Roman" w:hAnsi="Times New Roman"/>
          <w:sz w:val="24"/>
          <w:szCs w:val="24"/>
        </w:rPr>
        <w:t>（</w:t>
      </w:r>
      <w:r>
        <w:rPr>
          <w:rFonts w:ascii="Times New Roman" w:hAnsi="Times New Roman"/>
          <w:sz w:val="24"/>
          <w:szCs w:val="24"/>
        </w:rPr>
        <w:t>一氧化碳中毒</w:t>
      </w:r>
      <w:r>
        <w:rPr>
          <w:rFonts w:ascii="Times New Roman" w:hAnsi="Times New Roman"/>
          <w:sz w:val="24"/>
          <w:szCs w:val="24"/>
        </w:rPr>
        <w:t>）为主，</w:t>
      </w:r>
      <w:r>
        <w:rPr>
          <w:rFonts w:ascii="Times New Roman" w:hAnsi="Times New Roman"/>
          <w:sz w:val="24"/>
          <w:szCs w:val="24"/>
        </w:rPr>
        <w:t>高发行业为化学原料和化学制品制造业。</w:t>
      </w:r>
      <w:r>
        <w:rPr>
          <w:rFonts w:ascii="Times New Roman" w:hAnsi="Times New Roman"/>
          <w:sz w:val="24"/>
          <w:szCs w:val="24"/>
        </w:rPr>
        <w:t>慢性职业中毒病例工龄集中于</w:t>
      </w:r>
      <w:r>
        <w:rPr>
          <w:rFonts w:ascii="Times New Roman" w:hAnsi="Times New Roman"/>
          <w:sz w:val="24"/>
          <w:szCs w:val="24"/>
        </w:rPr>
        <w:t>10~19</w:t>
      </w:r>
      <w:r>
        <w:rPr>
          <w:rFonts w:ascii="Times New Roman" w:hAnsi="Times New Roman"/>
          <w:sz w:val="24"/>
          <w:szCs w:val="24"/>
        </w:rPr>
        <w:t>年</w:t>
      </w:r>
      <w:r>
        <w:rPr>
          <w:rFonts w:ascii="Times New Roman" w:hAnsi="Times New Roman"/>
          <w:sz w:val="24"/>
          <w:szCs w:val="24"/>
        </w:rPr>
        <w:t>，以有机溶剂中毒（苯中毒）为主，高发行业为化学原料和化</w:t>
      </w:r>
      <w:r>
        <w:rPr>
          <w:rFonts w:ascii="Times New Roman" w:hAnsi="Times New Roman"/>
          <w:sz w:val="24"/>
          <w:szCs w:val="24"/>
        </w:rPr>
        <w:t>学制品制造业。</w:t>
      </w:r>
      <w:r>
        <w:rPr>
          <w:rFonts w:ascii="Times New Roman" w:hAnsi="Times New Roman"/>
          <w:sz w:val="24"/>
          <w:szCs w:val="24"/>
        </w:rPr>
        <w:t> </w:t>
      </w:r>
      <w:r>
        <w:rPr>
          <w:rFonts w:ascii="Times New Roman" w:hAnsi="Times New Roman"/>
          <w:b/>
          <w:bCs/>
          <w:sz w:val="24"/>
          <w:szCs w:val="24"/>
        </w:rPr>
        <w:t>结论</w:t>
      </w:r>
      <w:r>
        <w:rPr>
          <w:rFonts w:ascii="Times New Roman" w:hAnsi="Times New Roman"/>
          <w:b/>
          <w:bCs/>
          <w:sz w:val="24"/>
          <w:szCs w:val="24"/>
        </w:rPr>
        <w:t xml:space="preserve"> </w:t>
      </w:r>
      <w:r>
        <w:rPr>
          <w:rFonts w:ascii="Times New Roman" w:hAnsi="Times New Roman"/>
          <w:sz w:val="24"/>
          <w:szCs w:val="24"/>
        </w:rPr>
        <w:t>天津市对于职业中毒的防治应根据本市急、慢性职业中毒毒物种类、地区经济差异、行业类别和劳动者分布等特点，分层次、有重点的开展精准职业病防治及卫生监测与管理。</w:t>
      </w:r>
    </w:p>
    <w:p w:rsidR="00710B94" w:rsidRDefault="005E26FA">
      <w:pPr>
        <w:spacing w:line="360" w:lineRule="auto"/>
        <w:ind w:firstLineChars="200" w:firstLine="482"/>
        <w:rPr>
          <w:rFonts w:ascii="Times New Roman" w:hAnsi="Times New Roman"/>
          <w:sz w:val="24"/>
          <w:szCs w:val="24"/>
        </w:rPr>
      </w:pPr>
      <w:r>
        <w:rPr>
          <w:rFonts w:ascii="Times New Roman" w:hAnsi="Times New Roman"/>
          <w:b/>
          <w:bCs/>
          <w:kern w:val="0"/>
          <w:sz w:val="24"/>
          <w:szCs w:val="24"/>
        </w:rPr>
        <w:t>【</w:t>
      </w:r>
      <w:r>
        <w:rPr>
          <w:rFonts w:ascii="Times New Roman" w:hAnsi="Times New Roman"/>
          <w:b/>
          <w:sz w:val="24"/>
          <w:szCs w:val="24"/>
        </w:rPr>
        <w:t>关键词</w:t>
      </w:r>
      <w:r>
        <w:rPr>
          <w:rFonts w:ascii="Times New Roman" w:hAnsi="Times New Roman"/>
          <w:b/>
          <w:bCs/>
          <w:kern w:val="0"/>
          <w:sz w:val="24"/>
          <w:szCs w:val="24"/>
        </w:rPr>
        <w:t>】</w:t>
      </w:r>
      <w:r>
        <w:rPr>
          <w:rFonts w:ascii="Times New Roman" w:hAnsi="Times New Roman"/>
          <w:sz w:val="24"/>
          <w:szCs w:val="24"/>
        </w:rPr>
        <w:t>职业中毒；流行病学研究；防治策略</w:t>
      </w:r>
    </w:p>
    <w:p w:rsidR="00710B94" w:rsidRDefault="005E26FA">
      <w:pPr>
        <w:spacing w:line="360" w:lineRule="auto"/>
        <w:ind w:firstLineChars="200" w:firstLine="482"/>
        <w:rPr>
          <w:rFonts w:ascii="Times New Roman" w:hAnsi="Times New Roman"/>
          <w:sz w:val="24"/>
          <w:szCs w:val="24"/>
        </w:rPr>
      </w:pPr>
      <w:r>
        <w:rPr>
          <w:rFonts w:ascii="Times New Roman" w:hAnsi="Times New Roman"/>
          <w:b/>
          <w:bCs/>
          <w:kern w:val="0"/>
          <w:sz w:val="24"/>
          <w:szCs w:val="24"/>
        </w:rPr>
        <w:t>基金项目：</w:t>
      </w:r>
      <w:r>
        <w:rPr>
          <w:rFonts w:ascii="Times New Roman" w:hAnsi="Times New Roman" w:hint="eastAsia"/>
          <w:sz w:val="24"/>
          <w:szCs w:val="24"/>
          <w:lang w:val="de-DE"/>
        </w:rPr>
        <w:t>天津市</w:t>
      </w:r>
      <w:r>
        <w:rPr>
          <w:rFonts w:ascii="Times New Roman" w:hAnsi="Times New Roman" w:hint="eastAsia"/>
          <w:sz w:val="24"/>
          <w:szCs w:val="24"/>
          <w:lang w:val="de-DE"/>
        </w:rPr>
        <w:t>医学重点建设学科（</w:t>
      </w:r>
      <w:r>
        <w:rPr>
          <w:rFonts w:ascii="Times New Roman" w:hAnsi="Times New Roman" w:hint="eastAsia"/>
          <w:sz w:val="24"/>
          <w:szCs w:val="24"/>
          <w:lang w:val="de-DE"/>
        </w:rPr>
        <w:t>TJYXZDXK-066B</w:t>
      </w:r>
      <w:r>
        <w:rPr>
          <w:rFonts w:ascii="Times New Roman" w:hAnsi="Times New Roman" w:hint="eastAsia"/>
          <w:sz w:val="24"/>
          <w:szCs w:val="24"/>
          <w:lang w:val="de-DE"/>
        </w:rPr>
        <w:t>）</w:t>
      </w:r>
    </w:p>
    <w:p w:rsidR="00710B94" w:rsidRDefault="00710B94">
      <w:pPr>
        <w:rPr>
          <w:rFonts w:ascii="Times New Roman" w:hAnsi="Times New Roman"/>
          <w:b/>
          <w:bCs/>
          <w:sz w:val="24"/>
          <w:szCs w:val="24"/>
        </w:rPr>
      </w:pPr>
    </w:p>
    <w:p w:rsidR="00710B94" w:rsidRDefault="005E26FA">
      <w:pPr>
        <w:rPr>
          <w:rFonts w:ascii="Times New Roman" w:hAnsi="Times New Roman"/>
          <w:b/>
          <w:bCs/>
          <w:sz w:val="24"/>
          <w:szCs w:val="24"/>
        </w:rPr>
      </w:pPr>
      <w:r>
        <w:rPr>
          <w:rFonts w:ascii="Times New Roman" w:hAnsi="Times New Roman"/>
          <w:b/>
          <w:bCs/>
          <w:sz w:val="24"/>
          <w:szCs w:val="24"/>
        </w:rPr>
        <w:t>Analysis and prevention of occupational poisoning in Tianjin during the period of "1</w:t>
      </w:r>
      <w:r>
        <w:rPr>
          <w:rFonts w:ascii="Times New Roman" w:hAnsi="Times New Roman" w:hint="eastAsia"/>
          <w:b/>
          <w:bCs/>
          <w:sz w:val="24"/>
          <w:szCs w:val="24"/>
        </w:rPr>
        <w:t>1th Five-Year Plan</w:t>
      </w:r>
      <w:r>
        <w:rPr>
          <w:rFonts w:ascii="Times New Roman" w:hAnsi="Times New Roman"/>
          <w:b/>
          <w:bCs/>
          <w:sz w:val="24"/>
          <w:szCs w:val="24"/>
        </w:rPr>
        <w:t>" to "1</w:t>
      </w:r>
      <w:r>
        <w:rPr>
          <w:rFonts w:ascii="Times New Roman" w:hAnsi="Times New Roman" w:hint="eastAsia"/>
          <w:b/>
          <w:bCs/>
          <w:sz w:val="24"/>
          <w:szCs w:val="24"/>
        </w:rPr>
        <w:t>3th</w:t>
      </w:r>
      <w:r>
        <w:rPr>
          <w:rFonts w:ascii="Times New Roman" w:hAnsi="Times New Roman" w:hint="eastAsia"/>
          <w:b/>
          <w:bCs/>
          <w:sz w:val="24"/>
          <w:szCs w:val="24"/>
        </w:rPr>
        <w:t xml:space="preserve"> Five-Year Plan</w:t>
      </w:r>
      <w:r>
        <w:rPr>
          <w:rFonts w:ascii="Times New Roman" w:hAnsi="Times New Roman"/>
          <w:b/>
          <w:bCs/>
          <w:sz w:val="24"/>
          <w:szCs w:val="24"/>
        </w:rPr>
        <w:t>"</w:t>
      </w:r>
    </w:p>
    <w:p w:rsidR="00710B94" w:rsidRDefault="005E26FA">
      <w:pPr>
        <w:spacing w:line="360" w:lineRule="exact"/>
        <w:ind w:firstLine="440"/>
        <w:rPr>
          <w:rFonts w:ascii="Times New Roman" w:hAnsi="Times New Roman"/>
          <w:i/>
          <w:sz w:val="18"/>
          <w:szCs w:val="18"/>
        </w:rPr>
      </w:pPr>
      <w:proofErr w:type="spellStart"/>
      <w:r>
        <w:rPr>
          <w:rFonts w:ascii="Times New Roman" w:hAnsi="Times New Roman" w:hint="eastAsia"/>
          <w:i/>
          <w:sz w:val="18"/>
          <w:szCs w:val="18"/>
        </w:rPr>
        <w:t>GaoYa</w:t>
      </w:r>
      <w:proofErr w:type="gramStart"/>
      <w:r>
        <w:rPr>
          <w:rFonts w:ascii="Times New Roman" w:hAnsi="Times New Roman" w:hint="eastAsia"/>
          <w:i/>
          <w:sz w:val="18"/>
          <w:szCs w:val="18"/>
        </w:rPr>
        <w:t>,</w:t>
      </w:r>
      <w:r>
        <w:rPr>
          <w:rFonts w:ascii="Times New Roman" w:hAnsi="Times New Roman" w:hint="eastAsia"/>
          <w:i/>
          <w:sz w:val="18"/>
          <w:szCs w:val="18"/>
        </w:rPr>
        <w:t>Wang</w:t>
      </w:r>
      <w:proofErr w:type="spellEnd"/>
      <w:proofErr w:type="gramEnd"/>
      <w:r>
        <w:rPr>
          <w:rFonts w:ascii="Times New Roman" w:hAnsi="Times New Roman" w:hint="eastAsia"/>
          <w:i/>
          <w:sz w:val="18"/>
          <w:szCs w:val="18"/>
        </w:rPr>
        <w:t xml:space="preserve"> </w:t>
      </w:r>
      <w:proofErr w:type="spellStart"/>
      <w:r>
        <w:rPr>
          <w:rFonts w:ascii="Times New Roman" w:hAnsi="Times New Roman" w:hint="eastAsia"/>
          <w:i/>
          <w:sz w:val="18"/>
          <w:szCs w:val="18"/>
        </w:rPr>
        <w:t>Xin</w:t>
      </w:r>
      <w:r>
        <w:rPr>
          <w:rFonts w:ascii="Times New Roman" w:hAnsi="Times New Roman" w:hint="eastAsia"/>
          <w:i/>
          <w:sz w:val="18"/>
          <w:szCs w:val="18"/>
        </w:rPr>
        <w:t>,ZengQiang,BaiYu</w:t>
      </w:r>
      <w:proofErr w:type="spellEnd"/>
    </w:p>
    <w:p w:rsidR="00710B94" w:rsidRDefault="005E26FA">
      <w:pPr>
        <w:spacing w:line="360" w:lineRule="exact"/>
        <w:ind w:firstLine="440"/>
        <w:rPr>
          <w:rFonts w:ascii="Times New Roman" w:hAnsi="Times New Roman"/>
          <w:i/>
          <w:sz w:val="18"/>
          <w:szCs w:val="18"/>
        </w:rPr>
      </w:pPr>
      <w:r>
        <w:rPr>
          <w:rFonts w:ascii="Times New Roman" w:hAnsi="Times New Roman"/>
          <w:i/>
          <w:sz w:val="18"/>
          <w:szCs w:val="18"/>
        </w:rPr>
        <w:t>Tianjin</w:t>
      </w:r>
      <w:r>
        <w:rPr>
          <w:rFonts w:ascii="Times New Roman" w:hAnsi="Times New Roman" w:hint="eastAsia"/>
          <w:i/>
          <w:sz w:val="18"/>
          <w:szCs w:val="18"/>
        </w:rPr>
        <w:t xml:space="preserve"> </w:t>
      </w:r>
      <w:r>
        <w:rPr>
          <w:rFonts w:ascii="Times New Roman" w:hAnsi="Times New Roman"/>
          <w:i/>
          <w:sz w:val="18"/>
          <w:szCs w:val="18"/>
        </w:rPr>
        <w:t xml:space="preserve">Centers for Disease Control and Prevention, Tianjin 300011, China </w:t>
      </w:r>
    </w:p>
    <w:p w:rsidR="00710B94" w:rsidRDefault="005E26FA">
      <w:pPr>
        <w:spacing w:line="360" w:lineRule="exact"/>
        <w:ind w:firstLine="360"/>
        <w:rPr>
          <w:rFonts w:ascii="Times New Roman" w:hAnsi="Times New Roman"/>
          <w:i/>
          <w:sz w:val="18"/>
          <w:szCs w:val="18"/>
        </w:rPr>
      </w:pPr>
      <w:r>
        <w:rPr>
          <w:rFonts w:ascii="Times New Roman" w:hAnsi="Times New Roman"/>
          <w:i/>
          <w:sz w:val="18"/>
          <w:szCs w:val="18"/>
        </w:rPr>
        <w:t xml:space="preserve">Corresponding author: </w:t>
      </w:r>
      <w:r>
        <w:rPr>
          <w:rFonts w:ascii="Times New Roman" w:hAnsi="Times New Roman" w:hint="eastAsia"/>
          <w:i/>
          <w:sz w:val="18"/>
          <w:szCs w:val="18"/>
        </w:rPr>
        <w:t>Wang Xin</w:t>
      </w:r>
      <w:r>
        <w:rPr>
          <w:rFonts w:ascii="Times New Roman" w:hAnsi="Times New Roman"/>
          <w:i/>
          <w:sz w:val="18"/>
          <w:szCs w:val="18"/>
        </w:rPr>
        <w:t xml:space="preserve"> </w:t>
      </w:r>
      <w:r>
        <w:rPr>
          <w:rFonts w:ascii="Times New Roman" w:hAnsi="Times New Roman" w:hint="eastAsia"/>
          <w:i/>
          <w:kern w:val="0"/>
          <w:sz w:val="18"/>
          <w:szCs w:val="18"/>
        </w:rPr>
        <w:t>，</w:t>
      </w:r>
      <w:r>
        <w:rPr>
          <w:rFonts w:ascii="Times New Roman" w:hAnsi="Times New Roman"/>
          <w:i/>
          <w:kern w:val="0"/>
          <w:sz w:val="18"/>
          <w:szCs w:val="18"/>
        </w:rPr>
        <w:t>E-mail:</w:t>
      </w:r>
      <w:r>
        <w:rPr>
          <w:rFonts w:ascii="Times New Roman" w:hAnsi="Times New Roman" w:hint="eastAsia"/>
          <w:i/>
          <w:kern w:val="0"/>
          <w:sz w:val="18"/>
          <w:szCs w:val="18"/>
        </w:rPr>
        <w:t>h_angel@126.com</w:t>
      </w:r>
    </w:p>
    <w:p w:rsidR="00710B94" w:rsidRDefault="005E26FA">
      <w:pPr>
        <w:spacing w:line="360" w:lineRule="auto"/>
        <w:ind w:firstLineChars="200" w:firstLine="482"/>
        <w:rPr>
          <w:rFonts w:ascii="Times New Roman" w:hAnsi="Times New Roman"/>
          <w:bCs/>
          <w:sz w:val="24"/>
          <w:szCs w:val="24"/>
        </w:rPr>
      </w:pPr>
      <w:r>
        <w:rPr>
          <w:rFonts w:ascii="Times New Roman" w:hAnsi="Times New Roman"/>
          <w:b/>
          <w:sz w:val="24"/>
          <w:szCs w:val="24"/>
        </w:rPr>
        <w:lastRenderedPageBreak/>
        <w:t>【</w:t>
      </w:r>
      <w:r>
        <w:rPr>
          <w:rFonts w:ascii="Times New Roman" w:hAnsi="Times New Roman"/>
          <w:b/>
          <w:sz w:val="24"/>
          <w:szCs w:val="24"/>
        </w:rPr>
        <w:t>Abstract</w:t>
      </w:r>
      <w:r>
        <w:rPr>
          <w:rFonts w:ascii="Times New Roman" w:hAnsi="Times New Roman"/>
          <w:b/>
          <w:sz w:val="24"/>
          <w:szCs w:val="24"/>
        </w:rPr>
        <w:t>】</w:t>
      </w:r>
      <w:r>
        <w:rPr>
          <w:rFonts w:ascii="Times New Roman" w:hAnsi="Times New Roman"/>
          <w:b/>
          <w:sz w:val="24"/>
          <w:szCs w:val="24"/>
        </w:rPr>
        <w:t>Objective</w:t>
      </w:r>
      <w:r>
        <w:rPr>
          <w:rFonts w:ascii="Times New Roman" w:hAnsi="Times New Roman"/>
          <w:b/>
          <w:sz w:val="24"/>
          <w:szCs w:val="24"/>
        </w:rPr>
        <w:t xml:space="preserve"> </w:t>
      </w:r>
      <w:r>
        <w:rPr>
          <w:rFonts w:ascii="Times New Roman" w:hAnsi="Times New Roman"/>
          <w:bCs/>
          <w:sz w:val="24"/>
          <w:szCs w:val="24"/>
        </w:rPr>
        <w:t>The characteristics and regularity of occupational poisoning in Tianjin during the period of "11th Five-Year Plan" to "13th Five-Year Plan" were analyzed to provide scientific basis for formulating effective intervention measures and prevention strategies.</w:t>
      </w:r>
      <w:r>
        <w:rPr>
          <w:rFonts w:ascii="Times New Roman" w:hAnsi="Times New Roman"/>
          <w:bCs/>
          <w:sz w:val="24"/>
          <w:szCs w:val="24"/>
        </w:rPr>
        <w:t xml:space="preserve"> </w:t>
      </w:r>
      <w:r>
        <w:rPr>
          <w:rFonts w:ascii="Times New Roman" w:hAnsi="Times New Roman"/>
          <w:b/>
          <w:sz w:val="24"/>
          <w:szCs w:val="24"/>
        </w:rPr>
        <w:t>Methods</w:t>
      </w:r>
      <w:r>
        <w:rPr>
          <w:rFonts w:ascii="Times New Roman" w:hAnsi="Times New Roman"/>
          <w:b/>
          <w:sz w:val="24"/>
          <w:szCs w:val="24"/>
        </w:rPr>
        <w:t xml:space="preserve"> </w:t>
      </w:r>
      <w:r>
        <w:rPr>
          <w:rFonts w:ascii="Times New Roman" w:hAnsi="Times New Roman"/>
          <w:bCs/>
          <w:sz w:val="24"/>
          <w:szCs w:val="24"/>
        </w:rPr>
        <w:t xml:space="preserve">Based on the data of occupational poisoning in Tianjin from 2006 to 2020 in the "Occupational Disease and Health Hazard Monitoring Information System", the data were sorted by EXCEL and analyzed by SPSS software. </w:t>
      </w:r>
      <w:r>
        <w:rPr>
          <w:rFonts w:ascii="Times New Roman" w:hAnsi="Times New Roman"/>
          <w:b/>
          <w:sz w:val="24"/>
          <w:szCs w:val="24"/>
        </w:rPr>
        <w:t>Results</w:t>
      </w:r>
      <w:r>
        <w:rPr>
          <w:rFonts w:ascii="Times New Roman" w:hAnsi="Times New Roman"/>
          <w:b/>
          <w:sz w:val="24"/>
          <w:szCs w:val="24"/>
        </w:rPr>
        <w:t xml:space="preserve"> </w:t>
      </w:r>
      <w:r>
        <w:rPr>
          <w:rFonts w:ascii="Times New Roman" w:hAnsi="Times New Roman"/>
          <w:bCs/>
          <w:sz w:val="24"/>
          <w:szCs w:val="24"/>
        </w:rPr>
        <w:t>A total of 234 cases of oc</w:t>
      </w:r>
      <w:r>
        <w:rPr>
          <w:rFonts w:ascii="Times New Roman" w:hAnsi="Times New Roman"/>
          <w:bCs/>
          <w:sz w:val="24"/>
          <w:szCs w:val="24"/>
        </w:rPr>
        <w:t>cupational chemical poisoning were reported in Tianjin during the period of "11th Five-Year Plan" to "13th Five-Year Plan", including 49 cases of acute occupational poisoning and 185 cases of chronic occupational poisoning. The number of acute occupational</w:t>
      </w:r>
      <w:r>
        <w:rPr>
          <w:rFonts w:ascii="Times New Roman" w:hAnsi="Times New Roman"/>
          <w:bCs/>
          <w:sz w:val="24"/>
          <w:szCs w:val="24"/>
        </w:rPr>
        <w:t xml:space="preserve"> poisoning cases increased first and then decreased, while the number of chronic occupational poisoning cases decreased as a whole. The proportion of acute occupational poisoning cases was higher in the four districts around the city, and the proportion of</w:t>
      </w:r>
      <w:r>
        <w:rPr>
          <w:rFonts w:ascii="Times New Roman" w:hAnsi="Times New Roman"/>
          <w:bCs/>
          <w:sz w:val="24"/>
          <w:szCs w:val="24"/>
        </w:rPr>
        <w:t xml:space="preserve"> chronic occupational poisoning cases was higher in </w:t>
      </w:r>
      <w:proofErr w:type="spellStart"/>
      <w:r>
        <w:rPr>
          <w:rFonts w:ascii="Times New Roman" w:hAnsi="Times New Roman"/>
          <w:bCs/>
          <w:sz w:val="24"/>
          <w:szCs w:val="24"/>
        </w:rPr>
        <w:t>Binhai</w:t>
      </w:r>
      <w:proofErr w:type="spellEnd"/>
      <w:r>
        <w:rPr>
          <w:rFonts w:ascii="Times New Roman" w:hAnsi="Times New Roman"/>
          <w:bCs/>
          <w:sz w:val="24"/>
          <w:szCs w:val="24"/>
        </w:rPr>
        <w:t xml:space="preserve"> New Area. The cases of occupational poisoning in males were significantly higher than those in females. The age of the disease is concentrated in 45-55 years old, and the number of acute occupation</w:t>
      </w:r>
      <w:r>
        <w:rPr>
          <w:rFonts w:ascii="Times New Roman" w:hAnsi="Times New Roman"/>
          <w:bCs/>
          <w:sz w:val="24"/>
          <w:szCs w:val="24"/>
        </w:rPr>
        <w:t>al poisoning cases is less than one year, mainly in asphyxiating gas poisoning (carbon monoxide poisoning), and the high incidence industry is chemical raw materials and chemical products manufacturing. The working age of chronic occupational poisoning cas</w:t>
      </w:r>
      <w:r>
        <w:rPr>
          <w:rFonts w:ascii="Times New Roman" w:hAnsi="Times New Roman"/>
          <w:bCs/>
          <w:sz w:val="24"/>
          <w:szCs w:val="24"/>
        </w:rPr>
        <w:t xml:space="preserve">es was concentrated in 10~19 years, mainly organic solvent poisoning (benzene poisoning), and the high incidence industry was chemical raw materials and chemical products manufacturing. </w:t>
      </w:r>
      <w:r>
        <w:rPr>
          <w:rFonts w:ascii="Times New Roman" w:hAnsi="Times New Roman"/>
          <w:b/>
          <w:sz w:val="24"/>
          <w:szCs w:val="24"/>
        </w:rPr>
        <w:t>Conclusion</w:t>
      </w:r>
      <w:r>
        <w:rPr>
          <w:rFonts w:ascii="Times New Roman" w:hAnsi="Times New Roman"/>
          <w:b/>
          <w:sz w:val="24"/>
          <w:szCs w:val="24"/>
        </w:rPr>
        <w:t xml:space="preserve"> </w:t>
      </w:r>
      <w:r>
        <w:rPr>
          <w:rFonts w:ascii="Times New Roman" w:hAnsi="Times New Roman"/>
          <w:bCs/>
          <w:sz w:val="24"/>
          <w:szCs w:val="24"/>
        </w:rPr>
        <w:t xml:space="preserve">The prevention and treatment of occupational poisoning in </w:t>
      </w:r>
      <w:r>
        <w:rPr>
          <w:rFonts w:ascii="Times New Roman" w:hAnsi="Times New Roman"/>
          <w:bCs/>
          <w:sz w:val="24"/>
          <w:szCs w:val="24"/>
        </w:rPr>
        <w:t>Tianjin should be based on the characteristics of acute and chronic occupational poisoning poisons, regional economic differences, industry categories and labor distribution, and carry out precise occupational disease prevention and health monitoring and m</w:t>
      </w:r>
      <w:r>
        <w:rPr>
          <w:rFonts w:ascii="Times New Roman" w:hAnsi="Times New Roman"/>
          <w:bCs/>
          <w:sz w:val="24"/>
          <w:szCs w:val="24"/>
        </w:rPr>
        <w:t>anagement at different levels and with emphasis</w:t>
      </w:r>
      <w:r>
        <w:rPr>
          <w:rFonts w:ascii="Times New Roman" w:hAnsi="Times New Roman"/>
          <w:bCs/>
          <w:sz w:val="24"/>
          <w:szCs w:val="24"/>
        </w:rPr>
        <w:t>。</w:t>
      </w:r>
    </w:p>
    <w:p w:rsidR="00710B94" w:rsidRDefault="005E26FA">
      <w:pPr>
        <w:pStyle w:val="2"/>
        <w:spacing w:line="360" w:lineRule="auto"/>
        <w:ind w:leftChars="0" w:left="0"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Keywords</w:t>
      </w:r>
      <w:r>
        <w:rPr>
          <w:rFonts w:ascii="Times New Roman" w:hAnsi="Times New Roman"/>
          <w:b/>
          <w:sz w:val="24"/>
          <w:szCs w:val="24"/>
        </w:rPr>
        <w:t>】</w:t>
      </w:r>
      <w:r>
        <w:rPr>
          <w:rFonts w:ascii="Times New Roman" w:hAnsi="Times New Roman"/>
          <w:sz w:val="24"/>
          <w:szCs w:val="24"/>
        </w:rPr>
        <w:t>Occupational poisoning</w:t>
      </w:r>
      <w:r>
        <w:rPr>
          <w:rFonts w:ascii="Times New Roman" w:hAnsi="Times New Roman" w:hint="eastAsia"/>
          <w:sz w:val="24"/>
          <w:szCs w:val="24"/>
        </w:rPr>
        <w:t>；</w:t>
      </w:r>
      <w:r>
        <w:rPr>
          <w:rFonts w:ascii="Times New Roman" w:hAnsi="Times New Roman"/>
          <w:sz w:val="24"/>
          <w:szCs w:val="24"/>
        </w:rPr>
        <w:t>Epidemiology</w:t>
      </w:r>
      <w:r>
        <w:rPr>
          <w:rFonts w:ascii="Times New Roman" w:hAnsi="Times New Roman"/>
          <w:sz w:val="24"/>
          <w:szCs w:val="24"/>
        </w:rPr>
        <w:t>；</w:t>
      </w:r>
      <w:r>
        <w:rPr>
          <w:rFonts w:ascii="Times New Roman" w:hAnsi="Times New Roman"/>
          <w:sz w:val="24"/>
          <w:szCs w:val="24"/>
        </w:rPr>
        <w:t>Control strategy</w:t>
      </w:r>
    </w:p>
    <w:p w:rsidR="00710B94" w:rsidRDefault="005E26FA" w:rsidP="005E26FA">
      <w:pPr>
        <w:pStyle w:val="a7"/>
        <w:spacing w:line="440" w:lineRule="exact"/>
        <w:ind w:firstLine="482"/>
        <w:rPr>
          <w:rFonts w:ascii="Times New Roman" w:hAnsi="Times New Roman"/>
          <w:sz w:val="24"/>
          <w:szCs w:val="24"/>
          <w:lang w:val="de-DE"/>
        </w:rPr>
      </w:pPr>
      <w:r>
        <w:rPr>
          <w:rFonts w:ascii="Times New Roman" w:hAnsi="Times New Roman"/>
          <w:b/>
          <w:sz w:val="24"/>
          <w:szCs w:val="24"/>
        </w:rPr>
        <w:lastRenderedPageBreak/>
        <w:t>【</w:t>
      </w:r>
      <w:r>
        <w:rPr>
          <w:rFonts w:ascii="Times New Roman" w:hAnsi="Times New Roman" w:hint="eastAsia"/>
          <w:b/>
          <w:sz w:val="24"/>
          <w:szCs w:val="24"/>
        </w:rPr>
        <w:t xml:space="preserve">Fund </w:t>
      </w:r>
      <w:r>
        <w:rPr>
          <w:rFonts w:ascii="Times New Roman" w:hAnsi="Times New Roman" w:hint="eastAsia"/>
          <w:b/>
          <w:sz w:val="24"/>
          <w:szCs w:val="24"/>
          <w:lang w:val="de-DE"/>
        </w:rPr>
        <w:t>program</w:t>
      </w:r>
      <w:r>
        <w:rPr>
          <w:rFonts w:ascii="Times New Roman" w:hAnsi="Times New Roman"/>
          <w:b/>
          <w:sz w:val="24"/>
          <w:szCs w:val="24"/>
        </w:rPr>
        <w:t>】</w:t>
      </w:r>
      <w:r>
        <w:rPr>
          <w:rFonts w:hint="eastAsia"/>
          <w:bCs/>
          <w:lang w:val="de-DE"/>
        </w:rPr>
        <w:t xml:space="preserve"> </w:t>
      </w:r>
      <w:r>
        <w:rPr>
          <w:rFonts w:ascii="Times New Roman" w:hAnsi="Times New Roman" w:hint="eastAsia"/>
          <w:sz w:val="24"/>
          <w:szCs w:val="24"/>
          <w:lang w:val="de-DE"/>
        </w:rPr>
        <w:t>Tianjin Key Medical Discipline(Specialty) Construction Project</w:t>
      </w:r>
      <w:r>
        <w:rPr>
          <w:rFonts w:ascii="Times New Roman" w:hAnsi="Times New Roman" w:hint="eastAsia"/>
          <w:sz w:val="24"/>
          <w:szCs w:val="24"/>
          <w:lang w:val="de-DE"/>
        </w:rPr>
        <w:t>（</w:t>
      </w:r>
      <w:r>
        <w:rPr>
          <w:rFonts w:ascii="Times New Roman" w:hAnsi="Times New Roman" w:hint="eastAsia"/>
          <w:sz w:val="24"/>
          <w:szCs w:val="24"/>
          <w:lang w:val="de-DE"/>
        </w:rPr>
        <w:t>TJYXZDXK-066B</w:t>
      </w:r>
      <w:r>
        <w:rPr>
          <w:rFonts w:ascii="Times New Roman" w:hAnsi="Times New Roman" w:hint="eastAsia"/>
          <w:sz w:val="24"/>
          <w:szCs w:val="24"/>
          <w:lang w:val="de-DE"/>
        </w:rPr>
        <w:t>）</w:t>
      </w:r>
    </w:p>
    <w:p w:rsidR="00710B94" w:rsidRDefault="00710B94">
      <w:pPr>
        <w:pStyle w:val="2"/>
        <w:spacing w:line="360" w:lineRule="auto"/>
        <w:ind w:leftChars="0" w:left="0" w:firstLine="480"/>
        <w:rPr>
          <w:rFonts w:ascii="Times New Roman" w:hAnsi="Times New Roman"/>
          <w:sz w:val="24"/>
          <w:szCs w:val="24"/>
        </w:rPr>
      </w:pPr>
      <w:bookmarkStart w:id="0" w:name="_GoBack"/>
      <w:bookmarkEnd w:id="0"/>
    </w:p>
    <w:sectPr w:rsidR="00710B94">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ZDg1YzE0OWE3MzY4Y2I1ZDJkYjUyOTU5ZmFjZjUifQ=="/>
  </w:docVars>
  <w:rsids>
    <w:rsidRoot w:val="00172A27"/>
    <w:rsid w:val="00172A27"/>
    <w:rsid w:val="005E26FA"/>
    <w:rsid w:val="00710B94"/>
    <w:rsid w:val="013A0AB4"/>
    <w:rsid w:val="01D31939"/>
    <w:rsid w:val="02C27DB1"/>
    <w:rsid w:val="048562A6"/>
    <w:rsid w:val="048E7E5C"/>
    <w:rsid w:val="04AB2D34"/>
    <w:rsid w:val="056E278B"/>
    <w:rsid w:val="058F62A8"/>
    <w:rsid w:val="06B942AE"/>
    <w:rsid w:val="08F63EDC"/>
    <w:rsid w:val="09E07ABF"/>
    <w:rsid w:val="0AF83C51"/>
    <w:rsid w:val="0B5F47F8"/>
    <w:rsid w:val="0B937C85"/>
    <w:rsid w:val="0BE65EA7"/>
    <w:rsid w:val="0EE907DC"/>
    <w:rsid w:val="0FE3329E"/>
    <w:rsid w:val="11306D33"/>
    <w:rsid w:val="14A44747"/>
    <w:rsid w:val="151930F0"/>
    <w:rsid w:val="15F81C75"/>
    <w:rsid w:val="17195D6A"/>
    <w:rsid w:val="185F7F0F"/>
    <w:rsid w:val="1997126F"/>
    <w:rsid w:val="1AB12A4D"/>
    <w:rsid w:val="1ACA3340"/>
    <w:rsid w:val="1ADD6E2F"/>
    <w:rsid w:val="1BB70B66"/>
    <w:rsid w:val="1BF118A6"/>
    <w:rsid w:val="1D1E78AD"/>
    <w:rsid w:val="1DFA0CAA"/>
    <w:rsid w:val="1EA66EDF"/>
    <w:rsid w:val="1FF40998"/>
    <w:rsid w:val="2063078A"/>
    <w:rsid w:val="207E2E71"/>
    <w:rsid w:val="20E02824"/>
    <w:rsid w:val="226A51EA"/>
    <w:rsid w:val="23ED6603"/>
    <w:rsid w:val="25330A97"/>
    <w:rsid w:val="26433831"/>
    <w:rsid w:val="29D30C34"/>
    <w:rsid w:val="29DC62B0"/>
    <w:rsid w:val="2ADD2F16"/>
    <w:rsid w:val="2D343CB1"/>
    <w:rsid w:val="2ED82A69"/>
    <w:rsid w:val="2F565C5A"/>
    <w:rsid w:val="31667E01"/>
    <w:rsid w:val="32362C80"/>
    <w:rsid w:val="326601D4"/>
    <w:rsid w:val="3346632D"/>
    <w:rsid w:val="34C50434"/>
    <w:rsid w:val="36FD7FC4"/>
    <w:rsid w:val="3840120C"/>
    <w:rsid w:val="3928413C"/>
    <w:rsid w:val="392A622E"/>
    <w:rsid w:val="399C0B28"/>
    <w:rsid w:val="3A345C12"/>
    <w:rsid w:val="3AD023ED"/>
    <w:rsid w:val="3D2C74A9"/>
    <w:rsid w:val="3E7B5FE4"/>
    <w:rsid w:val="3F5B227F"/>
    <w:rsid w:val="3FC96B57"/>
    <w:rsid w:val="403F4EA5"/>
    <w:rsid w:val="40BB3A63"/>
    <w:rsid w:val="40C35B04"/>
    <w:rsid w:val="41E77D71"/>
    <w:rsid w:val="42DD6932"/>
    <w:rsid w:val="43F45965"/>
    <w:rsid w:val="482B7FC0"/>
    <w:rsid w:val="48610CBD"/>
    <w:rsid w:val="486B6014"/>
    <w:rsid w:val="49FB390D"/>
    <w:rsid w:val="4CE21F79"/>
    <w:rsid w:val="4D50666F"/>
    <w:rsid w:val="4ED71CAF"/>
    <w:rsid w:val="4FBE5B81"/>
    <w:rsid w:val="51CD18BA"/>
    <w:rsid w:val="52916ED3"/>
    <w:rsid w:val="532D301D"/>
    <w:rsid w:val="551C032D"/>
    <w:rsid w:val="55DC53AF"/>
    <w:rsid w:val="5752606D"/>
    <w:rsid w:val="583324EF"/>
    <w:rsid w:val="58C61160"/>
    <w:rsid w:val="598C2AC3"/>
    <w:rsid w:val="5FA12DEF"/>
    <w:rsid w:val="620D0D15"/>
    <w:rsid w:val="627B1676"/>
    <w:rsid w:val="663E23BB"/>
    <w:rsid w:val="671636E2"/>
    <w:rsid w:val="67AA6316"/>
    <w:rsid w:val="69042209"/>
    <w:rsid w:val="6C2E7E65"/>
    <w:rsid w:val="6F241748"/>
    <w:rsid w:val="70B45EE2"/>
    <w:rsid w:val="74C61390"/>
    <w:rsid w:val="76225DF1"/>
    <w:rsid w:val="77B24B7B"/>
    <w:rsid w:val="7ADF14A1"/>
    <w:rsid w:val="7B9046CA"/>
    <w:rsid w:val="7CD7273D"/>
    <w:rsid w:val="7D4972DB"/>
    <w:rsid w:val="7D593BD8"/>
    <w:rsid w:val="7D80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jc w:val="both"/>
    </w:pPr>
    <w:rPr>
      <w:rFonts w:eastAsia="宋体" w:cs="Times New Roman"/>
      <w:kern w:val="2"/>
      <w:sz w:val="21"/>
    </w:rPr>
  </w:style>
  <w:style w:type="paragraph" w:styleId="1">
    <w:name w:val="heading 1"/>
    <w:basedOn w:val="a"/>
    <w:next w:val="a"/>
    <w:qFormat/>
    <w:pPr>
      <w:keepNext/>
      <w:keepLines/>
      <w:spacing w:before="340" w:after="330"/>
      <w:jc w:val="left"/>
      <w:outlineLvl w:val="0"/>
    </w:pPr>
    <w:rPr>
      <w:rFonts w:ascii="Times New Roman" w:eastAsia="仿宋_GB2312" w:hAnsi="Times New Roman"/>
      <w:b/>
      <w:bCs/>
      <w:kern w:val="44"/>
      <w:szCs w:val="44"/>
    </w:rPr>
  </w:style>
  <w:style w:type="paragraph" w:styleId="20">
    <w:name w:val="heading 2"/>
    <w:basedOn w:val="a"/>
    <w:next w:val="a"/>
    <w:semiHidden/>
    <w:unhideWhenUsed/>
    <w:qFormat/>
    <w:pPr>
      <w:keepNext/>
      <w:keepLines/>
      <w:spacing w:before="260" w:after="260"/>
      <w:jc w:val="left"/>
      <w:outlineLvl w:val="1"/>
    </w:pPr>
    <w:rPr>
      <w:rFonts w:ascii="仿宋" w:eastAsia="仿宋" w:hAnsi="仿宋"/>
      <w:b/>
      <w:bCs/>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annotation text"/>
    <w:basedOn w:val="a"/>
    <w:qFormat/>
    <w:pPr>
      <w:jc w:val="left"/>
    </w:pPr>
  </w:style>
  <w:style w:type="paragraph" w:styleId="a5">
    <w:name w:val="Normal (Web)"/>
    <w:basedOn w:val="a"/>
    <w:qFormat/>
    <w:pPr>
      <w:spacing w:line="360" w:lineRule="auto"/>
      <w:ind w:firstLineChars="200" w:firstLine="200"/>
    </w:pPr>
    <w:rPr>
      <w:sz w:val="24"/>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jc w:val="both"/>
    </w:pPr>
    <w:rPr>
      <w:rFonts w:eastAsia="宋体" w:cs="Times New Roman"/>
      <w:kern w:val="2"/>
      <w:sz w:val="21"/>
    </w:rPr>
  </w:style>
  <w:style w:type="paragraph" w:styleId="1">
    <w:name w:val="heading 1"/>
    <w:basedOn w:val="a"/>
    <w:next w:val="a"/>
    <w:qFormat/>
    <w:pPr>
      <w:keepNext/>
      <w:keepLines/>
      <w:spacing w:before="340" w:after="330"/>
      <w:jc w:val="left"/>
      <w:outlineLvl w:val="0"/>
    </w:pPr>
    <w:rPr>
      <w:rFonts w:ascii="Times New Roman" w:eastAsia="仿宋_GB2312" w:hAnsi="Times New Roman"/>
      <w:b/>
      <w:bCs/>
      <w:kern w:val="44"/>
      <w:szCs w:val="44"/>
    </w:rPr>
  </w:style>
  <w:style w:type="paragraph" w:styleId="20">
    <w:name w:val="heading 2"/>
    <w:basedOn w:val="a"/>
    <w:next w:val="a"/>
    <w:semiHidden/>
    <w:unhideWhenUsed/>
    <w:qFormat/>
    <w:pPr>
      <w:keepNext/>
      <w:keepLines/>
      <w:spacing w:before="260" w:after="260"/>
      <w:jc w:val="left"/>
      <w:outlineLvl w:val="1"/>
    </w:pPr>
    <w:rPr>
      <w:rFonts w:ascii="仿宋" w:eastAsia="仿宋" w:hAnsi="仿宋"/>
      <w:b/>
      <w:bCs/>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annotation text"/>
    <w:basedOn w:val="a"/>
    <w:qFormat/>
    <w:pPr>
      <w:jc w:val="left"/>
    </w:pPr>
  </w:style>
  <w:style w:type="paragraph" w:styleId="a5">
    <w:name w:val="Normal (Web)"/>
    <w:basedOn w:val="a"/>
    <w:qFormat/>
    <w:pPr>
      <w:spacing w:line="360" w:lineRule="auto"/>
      <w:ind w:firstLineChars="200" w:firstLine="200"/>
    </w:pPr>
    <w:rPr>
      <w:sz w:val="24"/>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高小高</dc:creator>
  <cp:lastModifiedBy>张慧芳</cp:lastModifiedBy>
  <cp:revision>2</cp:revision>
  <dcterms:created xsi:type="dcterms:W3CDTF">2023-05-16T02:07:00Z</dcterms:created>
  <dcterms:modified xsi:type="dcterms:W3CDTF">2023-08-30T06:54:00Z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B2587482689A43D78268F6C2596705AA</vt:lpwstr>
  </property>
</Properties>
</file>