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76444">
      <w:pPr>
        <w:spacing w:after="156" w:afterLines="50" w:line="500" w:lineRule="exact"/>
        <w:rPr>
          <w:rFonts w:hint="eastAsia" w:ascii="仿宋" w:hAnsi="仿宋" w:eastAsia="仿宋" w:cs="仿宋"/>
          <w:sz w:val="32"/>
          <w:szCs w:val="32"/>
          <w:lang w:bidi="ar"/>
        </w:rPr>
      </w:pPr>
      <w:r>
        <w:rPr>
          <w:rFonts w:hint="eastAsia" w:ascii="仿宋" w:hAnsi="仿宋" w:eastAsia="仿宋" w:cs="仿宋"/>
          <w:sz w:val="32"/>
          <w:szCs w:val="32"/>
          <w:lang w:bidi="ar"/>
        </w:rPr>
        <w:t>附件1</w:t>
      </w:r>
      <w:bookmarkStart w:id="2" w:name="_GoBack"/>
      <w:bookmarkEnd w:id="2"/>
    </w:p>
    <w:p w14:paraId="3E641949">
      <w:pPr>
        <w:spacing w:after="156" w:afterLines="50" w:line="500" w:lineRule="exact"/>
        <w:jc w:val="center"/>
        <w:rPr>
          <w:rFonts w:ascii="仿宋" w:hAnsi="仿宋" w:eastAsia="仿宋" w:cs="仿宋"/>
          <w:b/>
          <w:bCs/>
          <w:sz w:val="32"/>
          <w:szCs w:val="32"/>
          <w:lang w:bidi="ar"/>
        </w:rPr>
      </w:pPr>
      <w:r>
        <w:rPr>
          <w:rFonts w:hint="eastAsia" w:ascii="仿宋" w:hAnsi="仿宋" w:eastAsia="仿宋" w:cs="仿宋"/>
          <w:b/>
          <w:bCs/>
          <w:sz w:val="32"/>
          <w:szCs w:val="32"/>
          <w:lang w:bidi="ar"/>
        </w:rPr>
        <w:t>参展报名系统操作说明</w:t>
      </w:r>
    </w:p>
    <w:p w14:paraId="7DE648BF">
      <w:pPr>
        <w:spacing w:before="312" w:beforeLines="100" w:after="312" w:afterLines="100" w:line="500" w:lineRule="exact"/>
        <w:ind w:firstLine="640" w:firstLineChars="200"/>
        <w:rPr>
          <w:rFonts w:hint="eastAsia" w:ascii="仿宋" w:hAnsi="仿宋" w:eastAsia="仿宋" w:cs="仿宋"/>
          <w:sz w:val="32"/>
          <w:szCs w:val="32"/>
          <w:lang w:bidi="ar"/>
        </w:rPr>
      </w:pPr>
      <w:r>
        <w:rPr>
          <w:rFonts w:hint="eastAsia" w:ascii="仿宋" w:hAnsi="仿宋" w:eastAsia="仿宋" w:cs="仿宋"/>
          <w:sz w:val="32"/>
          <w:szCs w:val="32"/>
          <w:lang w:bidi="ar"/>
        </w:rPr>
        <w:drawing>
          <wp:anchor distT="0" distB="0" distL="114300" distR="114300" simplePos="0" relativeHeight="251660288" behindDoc="0" locked="0" layoutInCell="1" allowOverlap="1">
            <wp:simplePos x="0" y="0"/>
            <wp:positionH relativeFrom="margin">
              <wp:posOffset>104775</wp:posOffset>
            </wp:positionH>
            <wp:positionV relativeFrom="margin">
              <wp:posOffset>1898015</wp:posOffset>
            </wp:positionV>
            <wp:extent cx="5400040" cy="2333625"/>
            <wp:effectExtent l="0" t="0" r="13335" b="0"/>
            <wp:wrapSquare wrapText="bothSides"/>
            <wp:docPr id="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7"/>
                    <pic:cNvPicPr>
                      <a:picLocks noChangeAspect="1"/>
                    </pic:cNvPicPr>
                  </pic:nvPicPr>
                  <pic:blipFill>
                    <a:blip r:embed="rId5"/>
                    <a:stretch>
                      <a:fillRect/>
                    </a:stretch>
                  </pic:blipFill>
                  <pic:spPr>
                    <a:xfrm>
                      <a:off x="0" y="0"/>
                      <a:ext cx="5400040" cy="2333625"/>
                    </a:xfrm>
                    <a:prstGeom prst="rect">
                      <a:avLst/>
                    </a:prstGeom>
                    <a:noFill/>
                    <a:ln>
                      <a:noFill/>
                    </a:ln>
                  </pic:spPr>
                </pic:pic>
              </a:graphicData>
            </a:graphic>
          </wp:anchor>
        </w:drawing>
      </w:r>
      <w:r>
        <w:rPr>
          <w:rFonts w:hint="eastAsia" w:ascii="仿宋" w:hAnsi="仿宋" w:eastAsia="仿宋" w:cs="仿宋"/>
          <w:sz w:val="32"/>
          <w:szCs w:val="32"/>
          <w:lang w:bidi="ar"/>
        </w:rPr>
        <w:t>1.进入</w:t>
      </w:r>
      <w:r>
        <w:rPr>
          <w:rFonts w:hint="eastAsia" w:ascii="仿宋" w:hAnsi="仿宋" w:eastAsia="仿宋" w:cs="仿宋"/>
          <w:sz w:val="32"/>
          <w:szCs w:val="32"/>
          <w:lang w:val="en-US" w:eastAsia="zh-CN" w:bidi="ar"/>
        </w:rPr>
        <w:t>大会</w:t>
      </w:r>
      <w:r>
        <w:rPr>
          <w:rFonts w:hint="eastAsia" w:ascii="仿宋" w:hAnsi="仿宋" w:eastAsia="仿宋" w:cs="仿宋"/>
          <w:sz w:val="32"/>
          <w:szCs w:val="32"/>
          <w:lang w:bidi="ar"/>
        </w:rPr>
        <w:t>官网：</w:t>
      </w:r>
      <w:r>
        <w:rPr>
          <w:rFonts w:hint="eastAsia" w:ascii="仿宋" w:hAnsi="仿宋" w:eastAsia="仿宋" w:cs="仿宋"/>
          <w:sz w:val="32"/>
          <w:szCs w:val="32"/>
          <w:u w:val="none"/>
          <w:lang w:bidi="ar"/>
        </w:rPr>
        <w:fldChar w:fldCharType="begin"/>
      </w:r>
      <w:r>
        <w:rPr>
          <w:rFonts w:ascii="仿宋" w:hAnsi="仿宋" w:eastAsia="仿宋" w:cs="仿宋"/>
          <w:sz w:val="32"/>
          <w:szCs w:val="32"/>
          <w:u w:val="none"/>
          <w:lang w:bidi="ar"/>
        </w:rPr>
        <w:instrText xml:space="preserve">HYPERLINK "https://cshe2025.scimeeting.cn/"</w:instrText>
      </w:r>
      <w:r>
        <w:rPr>
          <w:rFonts w:hint="eastAsia" w:ascii="仿宋" w:hAnsi="仿宋" w:eastAsia="仿宋" w:cs="仿宋"/>
          <w:sz w:val="32"/>
          <w:szCs w:val="32"/>
          <w:u w:val="none"/>
          <w:lang w:bidi="ar"/>
        </w:rPr>
        <w:fldChar w:fldCharType="separate"/>
      </w:r>
      <w:r>
        <w:rPr>
          <w:rStyle w:val="14"/>
          <w:rFonts w:ascii="仿宋" w:hAnsi="仿宋" w:eastAsia="仿宋" w:cs="仿宋"/>
          <w:sz w:val="32"/>
          <w:szCs w:val="32"/>
          <w:u w:val="none"/>
          <w:lang w:bidi="ar"/>
        </w:rPr>
        <w:t>https://cshe2025.scimeeting.cn/</w:t>
      </w:r>
      <w:r>
        <w:rPr>
          <w:rFonts w:hint="eastAsia" w:ascii="仿宋" w:hAnsi="仿宋" w:eastAsia="仿宋" w:cs="仿宋"/>
          <w:sz w:val="32"/>
          <w:szCs w:val="32"/>
          <w:u w:val="none"/>
          <w:lang w:bidi="ar"/>
        </w:rPr>
        <w:fldChar w:fldCharType="end"/>
      </w:r>
      <w:r>
        <w:rPr>
          <w:rFonts w:hint="eastAsia" w:ascii="仿宋" w:hAnsi="仿宋" w:eastAsia="仿宋" w:cs="仿宋"/>
          <w:sz w:val="32"/>
          <w:szCs w:val="32"/>
          <w:u w:val="none"/>
          <w:lang w:bidi="ar"/>
        </w:rPr>
        <w:t xml:space="preserve"> </w:t>
      </w:r>
      <w:r>
        <w:rPr>
          <w:rFonts w:hint="eastAsia" w:ascii="仿宋" w:hAnsi="仿宋" w:eastAsia="仿宋" w:cs="仿宋"/>
          <w:sz w:val="32"/>
          <w:szCs w:val="32"/>
          <w:lang w:bidi="ar"/>
        </w:rPr>
        <w:t>点击左侧参展企业按钮。</w:t>
      </w:r>
    </w:p>
    <w:p w14:paraId="042E3E78">
      <w:pPr>
        <w:spacing w:before="312" w:beforeLines="100" w:after="312" w:afterLines="100" w:line="500" w:lineRule="exact"/>
        <w:rPr>
          <w:rFonts w:ascii="仿宋" w:hAnsi="仿宋" w:eastAsia="仿宋" w:cs="仿宋"/>
          <w:sz w:val="32"/>
          <w:szCs w:val="32"/>
          <w:lang w:bidi="ar"/>
        </w:rPr>
      </w:pPr>
    </w:p>
    <w:p w14:paraId="171ACFDD">
      <w:pPr>
        <w:spacing w:before="312" w:beforeLines="100" w:after="312" w:afterLines="100" w:line="500" w:lineRule="exact"/>
        <w:ind w:firstLine="640" w:firstLineChars="200"/>
        <w:rPr>
          <w:rFonts w:ascii="仿宋" w:hAnsi="仿宋" w:eastAsia="仿宋" w:cs="仿宋"/>
          <w:sz w:val="32"/>
          <w:szCs w:val="32"/>
          <w:lang w:bidi="ar"/>
        </w:rPr>
      </w:pPr>
      <w:r>
        <w:rPr>
          <w:rFonts w:hint="eastAsia" w:ascii="仿宋" w:hAnsi="仿宋" w:eastAsia="仿宋" w:cs="仿宋"/>
          <w:sz w:val="32"/>
          <w:szCs w:val="32"/>
          <w:lang w:bidi="ar"/>
        </w:rPr>
        <w:t>2.点击申请参展按钮，登录网站，如有账号直接输入手机号或账号密码进行登录。如是新用户请先注册。</w:t>
      </w:r>
    </w:p>
    <w:p w14:paraId="69C541CA">
      <w:pPr>
        <w:spacing w:before="312" w:beforeLines="100" w:after="312" w:afterLines="100" w:line="500" w:lineRule="exact"/>
        <w:rPr>
          <w:rFonts w:ascii="仿宋" w:hAnsi="仿宋" w:eastAsia="仿宋" w:cs="仿宋"/>
          <w:sz w:val="32"/>
          <w:szCs w:val="32"/>
          <w:lang w:bidi="ar"/>
        </w:rPr>
      </w:pPr>
      <w:r>
        <w:drawing>
          <wp:anchor distT="0" distB="0" distL="114300" distR="114300" simplePos="0" relativeHeight="251661312" behindDoc="0" locked="0" layoutInCell="1" allowOverlap="1">
            <wp:simplePos x="0" y="0"/>
            <wp:positionH relativeFrom="column">
              <wp:posOffset>635</wp:posOffset>
            </wp:positionH>
            <wp:positionV relativeFrom="paragraph">
              <wp:posOffset>70485</wp:posOffset>
            </wp:positionV>
            <wp:extent cx="5401945" cy="2838450"/>
            <wp:effectExtent l="0" t="0" r="11430" b="317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5401945" cy="2838450"/>
                    </a:xfrm>
                    <a:prstGeom prst="rect">
                      <a:avLst/>
                    </a:prstGeom>
                    <a:noFill/>
                    <a:ln>
                      <a:noFill/>
                    </a:ln>
                  </pic:spPr>
                </pic:pic>
              </a:graphicData>
            </a:graphic>
          </wp:anchor>
        </w:drawing>
      </w:r>
    </w:p>
    <w:p w14:paraId="4B3BEE43">
      <w:pPr>
        <w:spacing w:before="312" w:beforeLines="100" w:after="312" w:afterLines="100" w:line="500" w:lineRule="exact"/>
        <w:rPr>
          <w:rFonts w:ascii="仿宋" w:hAnsi="仿宋" w:eastAsia="仿宋" w:cs="仿宋"/>
          <w:sz w:val="32"/>
          <w:szCs w:val="32"/>
          <w:lang w:bidi="ar"/>
        </w:rPr>
      </w:pPr>
    </w:p>
    <w:p w14:paraId="04250228">
      <w:pPr>
        <w:spacing w:before="312" w:beforeLines="100" w:after="312" w:afterLines="100" w:line="500" w:lineRule="exact"/>
        <w:rPr>
          <w:rFonts w:ascii="仿宋" w:hAnsi="仿宋" w:eastAsia="仿宋" w:cs="仿宋"/>
          <w:sz w:val="32"/>
          <w:szCs w:val="32"/>
          <w:lang w:bidi="ar"/>
        </w:rPr>
      </w:pPr>
    </w:p>
    <w:p w14:paraId="1F84EDCC">
      <w:pPr>
        <w:spacing w:before="312" w:beforeLines="100" w:after="312" w:afterLines="100" w:line="500" w:lineRule="exact"/>
        <w:rPr>
          <w:rFonts w:ascii="仿宋" w:hAnsi="仿宋" w:eastAsia="仿宋" w:cs="仿宋"/>
          <w:sz w:val="32"/>
          <w:szCs w:val="32"/>
          <w:lang w:bidi="ar"/>
        </w:rPr>
      </w:pPr>
    </w:p>
    <w:p w14:paraId="449E08E0">
      <w:pPr>
        <w:spacing w:before="312" w:beforeLines="100" w:after="312" w:afterLines="100" w:line="500" w:lineRule="exact"/>
        <w:rPr>
          <w:rFonts w:ascii="仿宋" w:hAnsi="仿宋" w:eastAsia="仿宋" w:cs="仿宋"/>
          <w:sz w:val="32"/>
          <w:szCs w:val="32"/>
          <w:lang w:bidi="ar"/>
        </w:rPr>
      </w:pPr>
    </w:p>
    <w:p w14:paraId="4637831E">
      <w:pPr>
        <w:spacing w:before="312" w:beforeLines="100" w:after="312" w:afterLines="100" w:line="500" w:lineRule="exact"/>
        <w:rPr>
          <w:rFonts w:hint="eastAsia" w:ascii="仿宋" w:hAnsi="仿宋" w:eastAsia="仿宋" w:cs="仿宋"/>
          <w:sz w:val="32"/>
          <w:szCs w:val="32"/>
          <w:lang w:bidi="ar"/>
        </w:rPr>
      </w:pPr>
    </w:p>
    <w:p w14:paraId="79F63535">
      <w:pPr>
        <w:spacing w:before="312" w:beforeLines="100" w:after="312" w:afterLines="100" w:line="500" w:lineRule="exact"/>
        <w:ind w:firstLine="640" w:firstLineChars="200"/>
        <w:rPr>
          <w:rFonts w:ascii="仿宋" w:hAnsi="仿宋" w:eastAsia="仿宋" w:cs="仿宋"/>
          <w:sz w:val="32"/>
          <w:szCs w:val="32"/>
          <w:lang w:bidi="ar"/>
        </w:rPr>
      </w:pPr>
      <w:r>
        <w:rPr>
          <w:rFonts w:ascii="仿宋" w:hAnsi="仿宋" w:eastAsia="仿宋" w:cs="仿宋"/>
          <w:sz w:val="32"/>
          <w:szCs w:val="32"/>
          <w:lang w:bidi="ar"/>
        </w:rPr>
        <w:drawing>
          <wp:anchor distT="0" distB="0" distL="114300" distR="114300" simplePos="0" relativeHeight="251662336" behindDoc="0" locked="0" layoutInCell="1" allowOverlap="1">
            <wp:simplePos x="0" y="0"/>
            <wp:positionH relativeFrom="column">
              <wp:posOffset>85725</wp:posOffset>
            </wp:positionH>
            <wp:positionV relativeFrom="paragraph">
              <wp:posOffset>-55880</wp:posOffset>
            </wp:positionV>
            <wp:extent cx="5220970" cy="3763010"/>
            <wp:effectExtent l="0" t="0" r="1905" b="15240"/>
            <wp:wrapSquare wrapText="bothSides"/>
            <wp:docPr id="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9"/>
                    <pic:cNvPicPr>
                      <a:picLocks noChangeAspect="1"/>
                    </pic:cNvPicPr>
                  </pic:nvPicPr>
                  <pic:blipFill>
                    <a:blip r:embed="rId7"/>
                    <a:stretch>
                      <a:fillRect/>
                    </a:stretch>
                  </pic:blipFill>
                  <pic:spPr>
                    <a:xfrm>
                      <a:off x="0" y="0"/>
                      <a:ext cx="5220970" cy="3763010"/>
                    </a:xfrm>
                    <a:prstGeom prst="rect">
                      <a:avLst/>
                    </a:prstGeom>
                    <a:noFill/>
                    <a:ln>
                      <a:noFill/>
                    </a:ln>
                  </pic:spPr>
                </pic:pic>
              </a:graphicData>
            </a:graphic>
          </wp:anchor>
        </w:drawing>
      </w:r>
      <w:r>
        <w:rPr>
          <w:rFonts w:ascii="仿宋" w:hAnsi="仿宋" w:eastAsia="仿宋" w:cs="仿宋"/>
          <w:sz w:val="32"/>
          <w:szCs w:val="32"/>
          <w:lang w:bidi="ar"/>
        </w:rPr>
        <w:t>3</w:t>
      </w:r>
      <w:r>
        <w:rPr>
          <w:rFonts w:hint="eastAsia" w:ascii="仿宋" w:hAnsi="仿宋" w:eastAsia="仿宋" w:cs="仿宋"/>
          <w:sz w:val="32"/>
          <w:szCs w:val="32"/>
          <w:lang w:bidi="ar"/>
        </w:rPr>
        <w:t>.注册完成后登录到个人中心页面，点击右侧参展项目申请，即可选择对应参展项目（展位）。</w:t>
      </w:r>
    </w:p>
    <w:p w14:paraId="6CEFEEF1">
      <w:pPr>
        <w:spacing w:before="312" w:beforeLines="100" w:after="312" w:afterLines="100" w:line="500" w:lineRule="exact"/>
        <w:rPr>
          <w:rFonts w:ascii="仿宋" w:hAnsi="仿宋" w:eastAsia="仿宋" w:cs="仿宋"/>
          <w:sz w:val="32"/>
          <w:szCs w:val="32"/>
          <w:lang w:bidi="ar"/>
        </w:rPr>
      </w:pPr>
      <w:r>
        <w:drawing>
          <wp:anchor distT="0" distB="0" distL="114300" distR="114300" simplePos="0" relativeHeight="251663360" behindDoc="0" locked="0" layoutInCell="1" allowOverlap="1">
            <wp:simplePos x="0" y="0"/>
            <wp:positionH relativeFrom="column">
              <wp:posOffset>-1270</wp:posOffset>
            </wp:positionH>
            <wp:positionV relativeFrom="paragraph">
              <wp:posOffset>120015</wp:posOffset>
            </wp:positionV>
            <wp:extent cx="5396230" cy="3498850"/>
            <wp:effectExtent l="0" t="0" r="1270" b="9525"/>
            <wp:wrapNone/>
            <wp:docPr id="5" name="图片 50" descr="项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0" descr="项目"/>
                    <pic:cNvPicPr>
                      <a:picLocks noChangeAspect="1"/>
                    </pic:cNvPicPr>
                  </pic:nvPicPr>
                  <pic:blipFill>
                    <a:blip r:embed="rId8"/>
                    <a:stretch>
                      <a:fillRect/>
                    </a:stretch>
                  </pic:blipFill>
                  <pic:spPr>
                    <a:xfrm>
                      <a:off x="0" y="0"/>
                      <a:ext cx="5396230" cy="3498850"/>
                    </a:xfrm>
                    <a:prstGeom prst="rect">
                      <a:avLst/>
                    </a:prstGeom>
                    <a:noFill/>
                    <a:ln>
                      <a:noFill/>
                    </a:ln>
                  </pic:spPr>
                </pic:pic>
              </a:graphicData>
            </a:graphic>
          </wp:anchor>
        </w:drawing>
      </w:r>
    </w:p>
    <w:p w14:paraId="00FE9A4B">
      <w:pPr>
        <w:spacing w:before="312" w:beforeLines="100" w:after="312" w:afterLines="100" w:line="500" w:lineRule="exact"/>
        <w:rPr>
          <w:rFonts w:hint="eastAsia" w:ascii="仿宋" w:hAnsi="仿宋" w:eastAsia="仿宋" w:cs="仿宋"/>
          <w:sz w:val="32"/>
          <w:szCs w:val="32"/>
          <w:lang w:bidi="ar"/>
        </w:rPr>
      </w:pPr>
    </w:p>
    <w:p w14:paraId="684F615C">
      <w:pPr>
        <w:spacing w:before="312" w:beforeLines="100" w:after="312" w:afterLines="100" w:line="500" w:lineRule="exact"/>
        <w:rPr>
          <w:rFonts w:ascii="仿宋" w:hAnsi="仿宋" w:eastAsia="仿宋" w:cs="仿宋"/>
          <w:sz w:val="32"/>
          <w:szCs w:val="32"/>
          <w:lang w:bidi="ar"/>
        </w:rPr>
      </w:pPr>
    </w:p>
    <w:p w14:paraId="436A26B1">
      <w:pPr>
        <w:spacing w:before="312" w:beforeLines="100" w:after="312" w:afterLines="100" w:line="500" w:lineRule="exact"/>
        <w:rPr>
          <w:rFonts w:ascii="仿宋" w:hAnsi="仿宋" w:eastAsia="仿宋" w:cs="仿宋"/>
          <w:sz w:val="32"/>
          <w:szCs w:val="32"/>
          <w:lang w:bidi="ar"/>
        </w:rPr>
      </w:pPr>
    </w:p>
    <w:p w14:paraId="7A23CB59">
      <w:pPr>
        <w:spacing w:before="312" w:beforeLines="100" w:after="312" w:afterLines="100" w:line="500" w:lineRule="exact"/>
        <w:rPr>
          <w:rFonts w:ascii="仿宋" w:hAnsi="仿宋" w:eastAsia="仿宋" w:cs="仿宋"/>
          <w:sz w:val="32"/>
          <w:szCs w:val="32"/>
          <w:lang w:bidi="ar"/>
        </w:rPr>
      </w:pPr>
    </w:p>
    <w:p w14:paraId="6D0201F1">
      <w:pPr>
        <w:spacing w:before="312" w:beforeLines="100" w:after="312" w:afterLines="100" w:line="500" w:lineRule="exact"/>
        <w:rPr>
          <w:rFonts w:ascii="仿宋" w:hAnsi="仿宋" w:eastAsia="仿宋" w:cs="仿宋"/>
          <w:sz w:val="32"/>
          <w:szCs w:val="32"/>
          <w:lang w:bidi="ar"/>
        </w:rPr>
      </w:pPr>
    </w:p>
    <w:p w14:paraId="3CD5CF33">
      <w:pPr>
        <w:spacing w:before="312" w:beforeLines="100" w:after="312" w:afterLines="100" w:line="500" w:lineRule="exact"/>
        <w:rPr>
          <w:rFonts w:ascii="仿宋" w:hAnsi="仿宋" w:eastAsia="仿宋" w:cs="仿宋"/>
          <w:sz w:val="32"/>
          <w:szCs w:val="32"/>
          <w:lang w:bidi="ar"/>
        </w:rPr>
      </w:pPr>
    </w:p>
    <w:p w14:paraId="58B37F2D">
      <w:pPr>
        <w:spacing w:before="312" w:beforeLines="100" w:after="312" w:afterLines="100" w:line="500" w:lineRule="exact"/>
        <w:rPr>
          <w:rFonts w:hint="eastAsia" w:ascii="仿宋" w:hAnsi="仿宋" w:eastAsia="仿宋" w:cs="仿宋"/>
          <w:sz w:val="32"/>
          <w:szCs w:val="32"/>
          <w:lang w:bidi="ar"/>
        </w:rPr>
      </w:pPr>
    </w:p>
    <w:p w14:paraId="7595D0D5">
      <w:pPr>
        <w:spacing w:before="312" w:beforeLines="100" w:after="312" w:afterLines="100" w:line="500" w:lineRule="exact"/>
        <w:ind w:firstLine="640" w:firstLineChars="200"/>
        <w:rPr>
          <w:rFonts w:hint="eastAsia" w:ascii="仿宋" w:hAnsi="仿宋" w:eastAsia="仿宋" w:cs="仿宋"/>
          <w:sz w:val="32"/>
          <w:szCs w:val="32"/>
          <w:lang w:bidi="ar"/>
        </w:rPr>
      </w:pPr>
      <w:r>
        <w:rPr>
          <w:rFonts w:ascii="仿宋" w:hAnsi="仿宋" w:eastAsia="仿宋" w:cs="仿宋"/>
          <w:sz w:val="32"/>
          <w:szCs w:val="32"/>
          <w:lang w:bidi="ar"/>
        </w:rPr>
        <w:drawing>
          <wp:anchor distT="0" distB="0" distL="114300" distR="114300" simplePos="0" relativeHeight="251664384" behindDoc="0" locked="0" layoutInCell="1" allowOverlap="1">
            <wp:simplePos x="0" y="0"/>
            <wp:positionH relativeFrom="column">
              <wp:posOffset>-3810</wp:posOffset>
            </wp:positionH>
            <wp:positionV relativeFrom="paragraph">
              <wp:posOffset>950595</wp:posOffset>
            </wp:positionV>
            <wp:extent cx="5394960" cy="2030095"/>
            <wp:effectExtent l="0" t="0" r="2540" b="1905"/>
            <wp:wrapSquare wrapText="bothSides"/>
            <wp:docPr id="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1"/>
                    <pic:cNvPicPr>
                      <a:picLocks noChangeAspect="1"/>
                    </pic:cNvPicPr>
                  </pic:nvPicPr>
                  <pic:blipFill>
                    <a:blip r:embed="rId9"/>
                    <a:stretch>
                      <a:fillRect/>
                    </a:stretch>
                  </pic:blipFill>
                  <pic:spPr>
                    <a:xfrm>
                      <a:off x="0" y="0"/>
                      <a:ext cx="5394960" cy="2030095"/>
                    </a:xfrm>
                    <a:prstGeom prst="rect">
                      <a:avLst/>
                    </a:prstGeom>
                    <a:noFill/>
                    <a:ln>
                      <a:noFill/>
                    </a:ln>
                  </pic:spPr>
                </pic:pic>
              </a:graphicData>
            </a:graphic>
          </wp:anchor>
        </w:drawing>
      </w:r>
      <w:r>
        <w:rPr>
          <w:rFonts w:ascii="仿宋" w:hAnsi="仿宋" w:eastAsia="仿宋" w:cs="仿宋"/>
          <w:sz w:val="32"/>
          <w:szCs w:val="32"/>
          <w:lang w:bidi="ar"/>
        </w:rPr>
        <w:t>4</w:t>
      </w:r>
      <w:r>
        <w:rPr>
          <w:rFonts w:hint="eastAsia" w:ascii="仿宋" w:hAnsi="仿宋" w:eastAsia="仿宋" w:cs="仿宋"/>
          <w:sz w:val="32"/>
          <w:szCs w:val="32"/>
          <w:lang w:bidi="ar"/>
        </w:rPr>
        <w:t>.选择完展位后，填写合同发票信息，提交申请表，管理员后台审核后即可进行展位选择、工作人员添加。</w:t>
      </w:r>
    </w:p>
    <w:p w14:paraId="742DE9B6">
      <w:pPr>
        <w:spacing w:before="312" w:beforeLines="100" w:after="312" w:afterLines="100" w:line="500" w:lineRule="exact"/>
        <w:rPr>
          <w:rFonts w:hint="eastAsia" w:ascii="仿宋" w:hAnsi="仿宋" w:eastAsia="仿宋" w:cs="仿宋"/>
          <w:sz w:val="32"/>
          <w:szCs w:val="32"/>
          <w:lang w:bidi="ar"/>
        </w:rPr>
      </w:pPr>
      <w:r>
        <w:rPr>
          <w:lang/>
        </w:rPr>
        <w:drawing>
          <wp:anchor distT="0" distB="0" distL="114300" distR="114300" simplePos="0" relativeHeight="251666432" behindDoc="0" locked="0" layoutInCell="1" allowOverlap="1">
            <wp:simplePos x="0" y="0"/>
            <wp:positionH relativeFrom="column">
              <wp:posOffset>-3810</wp:posOffset>
            </wp:positionH>
            <wp:positionV relativeFrom="paragraph">
              <wp:posOffset>2339975</wp:posOffset>
            </wp:positionV>
            <wp:extent cx="5381625" cy="2771775"/>
            <wp:effectExtent l="0" t="0" r="0" b="6350"/>
            <wp:wrapNone/>
            <wp:docPr id="8" name="图片 56" descr="微信图片_2025041816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6" descr="微信图片_20250418160350"/>
                    <pic:cNvPicPr>
                      <a:picLocks noChangeAspect="1"/>
                    </pic:cNvPicPr>
                  </pic:nvPicPr>
                  <pic:blipFill>
                    <a:blip r:embed="rId10"/>
                    <a:stretch>
                      <a:fillRect/>
                    </a:stretch>
                  </pic:blipFill>
                  <pic:spPr>
                    <a:xfrm>
                      <a:off x="0" y="0"/>
                      <a:ext cx="5381625" cy="2771775"/>
                    </a:xfrm>
                    <a:prstGeom prst="rect">
                      <a:avLst/>
                    </a:prstGeom>
                    <a:noFill/>
                    <a:ln>
                      <a:noFill/>
                    </a:ln>
                  </pic:spPr>
                </pic:pic>
              </a:graphicData>
            </a:graphic>
          </wp:anchor>
        </w:drawing>
      </w:r>
    </w:p>
    <w:p w14:paraId="188060AF">
      <w:pPr>
        <w:spacing w:before="312" w:beforeLines="100" w:after="312" w:afterLines="100" w:line="500" w:lineRule="exact"/>
        <w:rPr>
          <w:rFonts w:ascii="仿宋" w:hAnsi="仿宋" w:eastAsia="仿宋" w:cs="仿宋"/>
          <w:sz w:val="32"/>
          <w:szCs w:val="32"/>
          <w:lang w:bidi="ar"/>
        </w:rPr>
      </w:pPr>
    </w:p>
    <w:p w14:paraId="10550417">
      <w:pPr>
        <w:spacing w:before="312" w:beforeLines="100" w:after="312" w:afterLines="100" w:line="500" w:lineRule="exact"/>
        <w:rPr>
          <w:rFonts w:ascii="仿宋" w:hAnsi="仿宋" w:eastAsia="仿宋" w:cs="仿宋"/>
          <w:sz w:val="32"/>
          <w:szCs w:val="32"/>
          <w:lang w:bidi="ar"/>
        </w:rPr>
      </w:pPr>
    </w:p>
    <w:p w14:paraId="48E73D94">
      <w:pPr>
        <w:spacing w:before="312" w:beforeLines="100" w:after="312" w:afterLines="100" w:line="500" w:lineRule="exact"/>
        <w:rPr>
          <w:rFonts w:ascii="仿宋" w:hAnsi="仿宋" w:eastAsia="仿宋" w:cs="仿宋"/>
          <w:sz w:val="32"/>
          <w:szCs w:val="32"/>
          <w:lang w:bidi="ar"/>
        </w:rPr>
      </w:pPr>
    </w:p>
    <w:p w14:paraId="130C6043">
      <w:pPr>
        <w:spacing w:before="312" w:beforeLines="100" w:after="312" w:afterLines="100" w:line="500" w:lineRule="exact"/>
        <w:rPr>
          <w:rFonts w:ascii="仿宋" w:hAnsi="仿宋" w:eastAsia="仿宋" w:cs="仿宋"/>
          <w:sz w:val="32"/>
          <w:szCs w:val="32"/>
          <w:lang w:bidi="ar"/>
        </w:rPr>
      </w:pPr>
    </w:p>
    <w:p w14:paraId="2B7729C7">
      <w:pPr>
        <w:spacing w:before="312" w:beforeLines="100" w:after="312" w:afterLines="100" w:line="500" w:lineRule="exact"/>
        <w:rPr>
          <w:rFonts w:ascii="仿宋" w:hAnsi="仿宋" w:eastAsia="仿宋" w:cs="仿宋"/>
          <w:sz w:val="32"/>
          <w:szCs w:val="32"/>
          <w:lang w:bidi="ar"/>
        </w:rPr>
      </w:pPr>
    </w:p>
    <w:p w14:paraId="4E3972B9">
      <w:pPr>
        <w:spacing w:before="312" w:beforeLines="100" w:after="312" w:afterLines="100" w:line="500" w:lineRule="exact"/>
        <w:rPr>
          <w:rFonts w:ascii="仿宋" w:hAnsi="仿宋" w:eastAsia="仿宋" w:cs="仿宋"/>
          <w:sz w:val="32"/>
          <w:szCs w:val="32"/>
          <w:lang w:bidi="ar"/>
        </w:rPr>
      </w:pPr>
      <w:r>
        <w:rPr>
          <w:lang/>
        </w:rPr>
        <w:drawing>
          <wp:anchor distT="0" distB="0" distL="114300" distR="114300" simplePos="0" relativeHeight="251667456" behindDoc="0" locked="0" layoutInCell="1" allowOverlap="1">
            <wp:simplePos x="0" y="0"/>
            <wp:positionH relativeFrom="column">
              <wp:posOffset>-3810</wp:posOffset>
            </wp:positionH>
            <wp:positionV relativeFrom="paragraph">
              <wp:posOffset>8255</wp:posOffset>
            </wp:positionV>
            <wp:extent cx="5381625" cy="1666875"/>
            <wp:effectExtent l="0" t="0" r="0" b="0"/>
            <wp:wrapNone/>
            <wp:docPr id="9" name="图片 57" descr="微信图片_2025041816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7" descr="微信图片_20250418160754"/>
                    <pic:cNvPicPr>
                      <a:picLocks noChangeAspect="1"/>
                    </pic:cNvPicPr>
                  </pic:nvPicPr>
                  <pic:blipFill>
                    <a:blip r:embed="rId11"/>
                    <a:srcRect b="39862"/>
                    <a:stretch>
                      <a:fillRect/>
                    </a:stretch>
                  </pic:blipFill>
                  <pic:spPr>
                    <a:xfrm>
                      <a:off x="0" y="0"/>
                      <a:ext cx="5381625" cy="1666875"/>
                    </a:xfrm>
                    <a:prstGeom prst="rect">
                      <a:avLst/>
                    </a:prstGeom>
                    <a:noFill/>
                    <a:ln>
                      <a:noFill/>
                    </a:ln>
                  </pic:spPr>
                </pic:pic>
              </a:graphicData>
            </a:graphic>
          </wp:anchor>
        </w:drawing>
      </w:r>
    </w:p>
    <w:p w14:paraId="5AF4F886">
      <w:pPr>
        <w:spacing w:before="312" w:beforeLines="100" w:after="312" w:afterLines="100" w:line="500" w:lineRule="exact"/>
        <w:rPr>
          <w:rFonts w:ascii="仿宋" w:hAnsi="仿宋" w:eastAsia="仿宋" w:cs="仿宋"/>
          <w:sz w:val="32"/>
          <w:szCs w:val="32"/>
          <w:lang w:bidi="ar"/>
        </w:rPr>
      </w:pPr>
    </w:p>
    <w:p w14:paraId="0087195D">
      <w:pPr>
        <w:spacing w:before="312" w:beforeLines="100" w:after="312" w:afterLines="100" w:line="500" w:lineRule="exact"/>
        <w:rPr>
          <w:rFonts w:hint="eastAsia" w:ascii="仿宋" w:hAnsi="仿宋" w:eastAsia="仿宋" w:cs="仿宋"/>
          <w:sz w:val="32"/>
          <w:szCs w:val="32"/>
          <w:lang w:bidi="ar"/>
        </w:rPr>
        <w:sectPr>
          <w:footerReference r:id="rId3" w:type="default"/>
          <w:pgSz w:w="11906" w:h="16838"/>
          <w:pgMar w:top="1440" w:right="1701" w:bottom="1440" w:left="1701" w:header="851" w:footer="992" w:gutter="0"/>
          <w:cols w:space="720" w:num="1"/>
          <w:docGrid w:type="lines" w:linePitch="312" w:charSpace="0"/>
        </w:sectPr>
      </w:pPr>
    </w:p>
    <w:p w14:paraId="2E8FD63F">
      <w:pPr>
        <w:spacing w:line="500" w:lineRule="exact"/>
        <w:rPr>
          <w:rFonts w:hint="eastAsia" w:ascii="仿宋" w:hAnsi="仿宋" w:eastAsia="仿宋" w:cs="仿宋"/>
          <w:sz w:val="32"/>
          <w:szCs w:val="32"/>
          <w:lang w:bidi="ar"/>
        </w:rPr>
      </w:pPr>
      <w:r>
        <w:rPr>
          <w:rFonts w:hint="eastAsia" w:ascii="仿宋" w:hAnsi="仿宋" w:eastAsia="仿宋" w:cs="仿宋"/>
          <w:sz w:val="32"/>
          <w:szCs w:val="32"/>
          <w:lang w:bidi="ar"/>
        </w:rPr>
        <w:t>附件2</w:t>
      </w:r>
    </w:p>
    <w:p w14:paraId="2A7DDBD3">
      <w:pPr>
        <w:spacing w:line="500" w:lineRule="exact"/>
        <w:jc w:val="center"/>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展位布置图</w:t>
      </w:r>
    </w:p>
    <w:p w14:paraId="1B50A2B0">
      <w:pPr>
        <w:spacing w:before="314" w:beforeLines="100" w:after="314" w:afterLines="100"/>
        <w:jc w:val="center"/>
        <w:rPr>
          <w:rFonts w:hint="eastAsia" w:ascii="仿宋" w:hAnsi="仿宋" w:eastAsia="仿宋" w:cs="仿宋"/>
          <w:sz w:val="32"/>
          <w:szCs w:val="32"/>
          <w:lang w:bidi="ar"/>
        </w:rPr>
      </w:pPr>
      <w:r>
        <w:rPr>
          <w:lang/>
        </w:rPr>
        <w:drawing>
          <wp:anchor distT="0" distB="0" distL="114300" distR="114300" simplePos="0" relativeHeight="251665408" behindDoc="0" locked="0" layoutInCell="1" allowOverlap="1">
            <wp:simplePos x="0" y="0"/>
            <wp:positionH relativeFrom="column">
              <wp:posOffset>819150</wp:posOffset>
            </wp:positionH>
            <wp:positionV relativeFrom="paragraph">
              <wp:posOffset>456565</wp:posOffset>
            </wp:positionV>
            <wp:extent cx="7219950" cy="4524375"/>
            <wp:effectExtent l="0" t="0" r="3175" b="0"/>
            <wp:wrapNone/>
            <wp:docPr id="7" name="图片 1" descr="834c84d69d4289560a25d0a1aabac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834c84d69d4289560a25d0a1aabac94"/>
                    <pic:cNvPicPr>
                      <a:picLocks noChangeAspect="1"/>
                    </pic:cNvPicPr>
                  </pic:nvPicPr>
                  <pic:blipFill>
                    <a:blip r:embed="rId12"/>
                    <a:srcRect b="475"/>
                    <a:stretch>
                      <a:fillRect/>
                    </a:stretch>
                  </pic:blipFill>
                  <pic:spPr>
                    <a:xfrm>
                      <a:off x="0" y="0"/>
                      <a:ext cx="7219950" cy="4524375"/>
                    </a:xfrm>
                    <a:prstGeom prst="rect">
                      <a:avLst/>
                    </a:prstGeom>
                    <a:noFill/>
                    <a:ln>
                      <a:noFill/>
                    </a:ln>
                  </pic:spPr>
                </pic:pic>
              </a:graphicData>
            </a:graphic>
          </wp:anchor>
        </w:drawing>
      </w:r>
    </w:p>
    <w:p w14:paraId="01110DB5">
      <w:pPr>
        <w:spacing w:before="314" w:beforeLines="100" w:after="314" w:afterLines="100" w:line="500" w:lineRule="exact"/>
        <w:rPr>
          <w:rFonts w:hint="eastAsia" w:ascii="仿宋" w:hAnsi="仿宋" w:eastAsia="仿宋" w:cs="仿宋"/>
          <w:sz w:val="32"/>
          <w:szCs w:val="32"/>
          <w:lang w:bidi="ar"/>
        </w:rPr>
        <w:sectPr>
          <w:pgSz w:w="16838" w:h="11906" w:orient="landscape"/>
          <w:pgMar w:top="1701" w:right="1440" w:bottom="1701" w:left="1440" w:header="851" w:footer="992" w:gutter="0"/>
          <w:cols w:space="720" w:num="1"/>
          <w:docGrid w:type="lines" w:linePitch="314" w:charSpace="0"/>
        </w:sectPr>
      </w:pPr>
    </w:p>
    <w:p w14:paraId="31295916">
      <w:pPr>
        <w:spacing w:before="314" w:beforeLines="100" w:after="314" w:afterLines="100" w:line="500" w:lineRule="exact"/>
        <w:rPr>
          <w:rFonts w:hint="eastAsia" w:ascii="仿宋" w:hAnsi="仿宋" w:eastAsia="仿宋" w:cs="仿宋"/>
          <w:sz w:val="32"/>
          <w:szCs w:val="32"/>
          <w:lang w:bidi="ar"/>
        </w:rPr>
      </w:pPr>
      <w:r>
        <w:rPr>
          <w:rFonts w:hint="eastAsia" w:ascii="仿宋" w:hAnsi="仿宋" w:eastAsia="仿宋" w:cs="仿宋"/>
          <w:sz w:val="32"/>
          <w:szCs w:val="32"/>
          <w:lang w:bidi="ar"/>
        </w:rPr>
        <w:t>附件3</w:t>
      </w:r>
    </w:p>
    <w:p w14:paraId="0F92EDE5">
      <w:pPr>
        <w:spacing w:before="314" w:beforeLines="100" w:after="314" w:afterLines="100" w:line="500" w:lineRule="exact"/>
        <w:jc w:val="center"/>
        <w:rPr>
          <w:rFonts w:hint="eastAsia" w:ascii="黑体" w:hAnsi="黑体" w:eastAsia="黑体" w:cs="黑体"/>
          <w:b/>
          <w:bCs/>
          <w:sz w:val="32"/>
          <w:szCs w:val="32"/>
          <w:lang w:bidi="ar"/>
        </w:rPr>
      </w:pPr>
      <w:r>
        <w:rPr>
          <w:rFonts w:hint="eastAsia" w:ascii="仿宋" w:hAnsi="仿宋" w:eastAsia="仿宋"/>
          <w:b/>
          <w:bCs/>
          <w:color w:val="000000"/>
          <w:sz w:val="32"/>
          <w:szCs w:val="32"/>
          <w:shd w:val="clear" w:color="auto" w:fill="FFFFFF"/>
        </w:rPr>
        <w:t>南京扬子江国际会议中心酒店交通</w:t>
      </w:r>
      <w:r>
        <w:rPr>
          <w:rFonts w:hint="eastAsia" w:ascii="仿宋" w:hAnsi="仿宋" w:eastAsia="仿宋"/>
          <w:b/>
          <w:bCs/>
          <w:color w:val="000000"/>
          <w:sz w:val="32"/>
          <w:szCs w:val="32"/>
          <w:shd w:val="clear" w:color="auto" w:fill="FFFFFF"/>
        </w:rPr>
        <w:drawing>
          <wp:anchor distT="0" distB="0" distL="114300" distR="114300" simplePos="0" relativeHeight="251659264" behindDoc="1" locked="0" layoutInCell="1" allowOverlap="1">
            <wp:simplePos x="0" y="0"/>
            <wp:positionH relativeFrom="column">
              <wp:posOffset>-266065</wp:posOffset>
            </wp:positionH>
            <wp:positionV relativeFrom="paragraph">
              <wp:posOffset>483235</wp:posOffset>
            </wp:positionV>
            <wp:extent cx="5842635" cy="3819525"/>
            <wp:effectExtent l="0" t="0" r="15240" b="6350"/>
            <wp:wrapTight wrapText="bothSides">
              <wp:wrapPolygon>
                <wp:start x="21592" y="-2"/>
                <wp:lineTo x="0" y="0"/>
                <wp:lineTo x="0" y="21600"/>
                <wp:lineTo x="21592" y="21602"/>
                <wp:lineTo x="8" y="21602"/>
                <wp:lineTo x="21600" y="21600"/>
                <wp:lineTo x="21600" y="0"/>
                <wp:lineTo x="8" y="-2"/>
                <wp:lineTo x="21592" y="-2"/>
              </wp:wrapPolygon>
            </wp:wrapTight>
            <wp:docPr id="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4"/>
                    <pic:cNvPicPr>
                      <a:picLocks noChangeAspect="1"/>
                    </pic:cNvPicPr>
                  </pic:nvPicPr>
                  <pic:blipFill>
                    <a:blip r:embed="rId13"/>
                    <a:stretch>
                      <a:fillRect/>
                    </a:stretch>
                  </pic:blipFill>
                  <pic:spPr>
                    <a:xfrm>
                      <a:off x="0" y="0"/>
                      <a:ext cx="5842635" cy="3819525"/>
                    </a:xfrm>
                    <a:prstGeom prst="rect">
                      <a:avLst/>
                    </a:prstGeom>
                    <a:noFill/>
                    <a:ln>
                      <a:noFill/>
                    </a:ln>
                  </pic:spPr>
                </pic:pic>
              </a:graphicData>
            </a:graphic>
          </wp:anchor>
        </w:drawing>
      </w:r>
      <w:r>
        <w:rPr>
          <w:rFonts w:hint="eastAsia" w:ascii="仿宋" w:hAnsi="仿宋" w:eastAsia="仿宋"/>
          <w:b/>
          <w:bCs/>
          <w:color w:val="000000"/>
          <w:sz w:val="32"/>
          <w:szCs w:val="32"/>
          <w:shd w:val="clear" w:color="auto" w:fill="FFFFFF"/>
        </w:rPr>
        <w:t>及路线</w:t>
      </w:r>
    </w:p>
    <w:p w14:paraId="5F06B6F9">
      <w:pPr>
        <w:spacing w:line="500" w:lineRule="exact"/>
        <w:rPr>
          <w:rFonts w:hint="eastAsia" w:ascii="仿宋" w:hAnsi="仿宋" w:eastAsia="仿宋" w:cs="仿宋"/>
          <w:b/>
          <w:bCs/>
          <w:sz w:val="24"/>
          <w:lang w:bidi="ar"/>
        </w:rPr>
      </w:pPr>
      <w:r>
        <w:rPr>
          <w:rFonts w:hint="eastAsia" w:ascii="仿宋" w:hAnsi="仿宋" w:eastAsia="仿宋" w:cs="仿宋"/>
          <w:b/>
          <w:bCs/>
          <w:sz w:val="28"/>
          <w:szCs w:val="28"/>
          <w:lang w:bidi="ar"/>
        </w:rPr>
        <w:fldChar w:fldCharType="begin"/>
      </w:r>
      <w:r>
        <w:rPr>
          <w:rFonts w:hint="eastAsia" w:ascii="仿宋" w:hAnsi="仿宋" w:eastAsia="仿宋" w:cs="仿宋"/>
          <w:b/>
          <w:bCs/>
          <w:sz w:val="28"/>
          <w:szCs w:val="28"/>
          <w:lang w:bidi="ar"/>
        </w:rPr>
        <w:instrText xml:space="preserve"> = 1 \* alphabetic \* MERGEFORMAT </w:instrText>
      </w:r>
      <w:r>
        <w:rPr>
          <w:rFonts w:hint="eastAsia" w:ascii="仿宋" w:hAnsi="仿宋" w:eastAsia="仿宋" w:cs="仿宋"/>
          <w:b/>
          <w:bCs/>
          <w:sz w:val="28"/>
          <w:szCs w:val="28"/>
          <w:lang w:bidi="ar"/>
        </w:rPr>
        <w:fldChar w:fldCharType="separate"/>
      </w:r>
      <w:r>
        <w:rPr>
          <w:sz w:val="28"/>
          <w:szCs w:val="28"/>
        </w:rPr>
        <w:t>a</w:t>
      </w:r>
      <w:r>
        <w:rPr>
          <w:rFonts w:hint="eastAsia" w:ascii="仿宋" w:hAnsi="仿宋" w:eastAsia="仿宋" w:cs="仿宋"/>
          <w:b/>
          <w:bCs/>
          <w:sz w:val="28"/>
          <w:szCs w:val="28"/>
          <w:lang w:bidi="ar"/>
        </w:rPr>
        <w:fldChar w:fldCharType="end"/>
      </w:r>
      <w:r>
        <w:rPr>
          <w:rFonts w:hint="eastAsia" w:ascii="仿宋" w:hAnsi="仿宋" w:eastAsia="仿宋" w:cs="仿宋"/>
          <w:b/>
          <w:bCs/>
          <w:sz w:val="28"/>
          <w:szCs w:val="28"/>
          <w:lang w:bidi="ar"/>
        </w:rPr>
        <w:t>.</w:t>
      </w:r>
      <w:r>
        <w:rPr>
          <w:rFonts w:hint="eastAsia" w:ascii="仿宋" w:hAnsi="仿宋" w:eastAsia="仿宋" w:cs="仿宋"/>
          <w:b/>
          <w:bCs/>
          <w:sz w:val="24"/>
          <w:lang w:bidi="ar"/>
        </w:rPr>
        <w:t xml:space="preserve">距离南京禄口机场约55公里 </w:t>
      </w:r>
    </w:p>
    <w:p w14:paraId="5CD8B3A7">
      <w:pPr>
        <w:spacing w:line="360" w:lineRule="auto"/>
        <w:ind w:firstLine="482" w:firstLineChars="200"/>
        <w:rPr>
          <w:rFonts w:ascii="仿宋" w:hAnsi="仿宋" w:eastAsia="仿宋" w:cs="仿宋"/>
          <w:b/>
          <w:bCs/>
          <w:sz w:val="24"/>
          <w:lang w:bidi="ar"/>
        </w:rPr>
      </w:pPr>
      <w:r>
        <w:rPr>
          <w:rFonts w:hint="eastAsia" w:ascii="仿宋" w:hAnsi="仿宋" w:eastAsia="仿宋" w:cs="仿宋"/>
          <w:b/>
          <w:bCs/>
          <w:sz w:val="24"/>
          <w:lang w:bidi="ar"/>
        </w:rPr>
        <w:t xml:space="preserve">• </w:t>
      </w:r>
      <w:r>
        <w:rPr>
          <w:rFonts w:ascii="仿宋" w:hAnsi="仿宋" w:eastAsia="仿宋" w:cs="仿宋"/>
          <w:b/>
          <w:bCs/>
          <w:sz w:val="24"/>
          <w:lang w:bidi="ar"/>
        </w:rPr>
        <w:t xml:space="preserve">打车60分钟 </w:t>
      </w:r>
    </w:p>
    <w:p w14:paraId="6359F8A5">
      <w:pPr>
        <w:spacing w:line="360" w:lineRule="auto"/>
        <w:ind w:firstLine="482" w:firstLineChars="200"/>
        <w:rPr>
          <w:rFonts w:ascii="仿宋" w:hAnsi="仿宋" w:eastAsia="仿宋" w:cs="仿宋"/>
          <w:b/>
          <w:bCs/>
          <w:sz w:val="24"/>
          <w:lang w:bidi="ar"/>
        </w:rPr>
      </w:pPr>
      <w:r>
        <w:rPr>
          <w:rFonts w:ascii="仿宋" w:hAnsi="仿宋" w:eastAsia="仿宋" w:cs="仿宋"/>
          <w:b/>
          <w:bCs/>
          <w:sz w:val="24"/>
          <w:lang w:bidi="ar"/>
        </w:rPr>
        <w:t>• 公交31站（地铁S1号线→地 铁1号线→地铁10号线→ 698路）</w:t>
      </w:r>
    </w:p>
    <w:p w14:paraId="1B4F072C">
      <w:pPr>
        <w:spacing w:line="360" w:lineRule="auto"/>
        <w:rPr>
          <w:rFonts w:ascii="仿宋" w:hAnsi="仿宋" w:eastAsia="仿宋" w:cs="仿宋"/>
          <w:b/>
          <w:bCs/>
          <w:sz w:val="24"/>
          <w:lang w:bidi="ar"/>
        </w:rPr>
      </w:pPr>
      <w:r>
        <w:rPr>
          <w:rFonts w:ascii="仿宋" w:hAnsi="仿宋" w:eastAsia="仿宋" w:cs="仿宋"/>
          <w:b/>
          <w:bCs/>
          <w:sz w:val="28"/>
          <w:szCs w:val="28"/>
          <w:lang w:bidi="ar"/>
        </w:rPr>
        <w:fldChar w:fldCharType="begin"/>
      </w:r>
      <w:r>
        <w:rPr>
          <w:rFonts w:ascii="仿宋" w:hAnsi="仿宋" w:eastAsia="仿宋" w:cs="仿宋"/>
          <w:b/>
          <w:bCs/>
          <w:sz w:val="28"/>
          <w:szCs w:val="28"/>
          <w:lang w:bidi="ar"/>
        </w:rPr>
        <w:instrText xml:space="preserve"> = 2 \* alphabetic \* MERGEFORMAT </w:instrText>
      </w:r>
      <w:r>
        <w:rPr>
          <w:rFonts w:ascii="仿宋" w:hAnsi="仿宋" w:eastAsia="仿宋" w:cs="仿宋"/>
          <w:b/>
          <w:bCs/>
          <w:sz w:val="28"/>
          <w:szCs w:val="28"/>
          <w:lang w:bidi="ar"/>
        </w:rPr>
        <w:fldChar w:fldCharType="separate"/>
      </w:r>
      <w:r>
        <w:rPr>
          <w:sz w:val="28"/>
          <w:szCs w:val="28"/>
        </w:rPr>
        <w:t>b</w:t>
      </w:r>
      <w:r>
        <w:rPr>
          <w:rFonts w:ascii="仿宋" w:hAnsi="仿宋" w:eastAsia="仿宋" w:cs="仿宋"/>
          <w:b/>
          <w:bCs/>
          <w:sz w:val="28"/>
          <w:szCs w:val="28"/>
          <w:lang w:bidi="ar"/>
        </w:rPr>
        <w:fldChar w:fldCharType="end"/>
      </w:r>
      <w:r>
        <w:rPr>
          <w:rFonts w:hint="eastAsia" w:ascii="仿宋" w:hAnsi="仿宋" w:eastAsia="仿宋" w:cs="仿宋"/>
          <w:b/>
          <w:bCs/>
          <w:sz w:val="28"/>
          <w:szCs w:val="28"/>
          <w:lang w:bidi="ar"/>
        </w:rPr>
        <w:t>.</w:t>
      </w:r>
      <w:r>
        <w:rPr>
          <w:rFonts w:ascii="仿宋" w:hAnsi="仿宋" w:eastAsia="仿宋" w:cs="仿宋"/>
          <w:b/>
          <w:bCs/>
          <w:sz w:val="24"/>
          <w:lang w:bidi="ar"/>
        </w:rPr>
        <w:t xml:space="preserve">距离南京南站约28公里 </w:t>
      </w:r>
    </w:p>
    <w:p w14:paraId="14718B18">
      <w:pPr>
        <w:spacing w:line="360" w:lineRule="auto"/>
        <w:ind w:firstLine="482" w:firstLineChars="200"/>
        <w:rPr>
          <w:rFonts w:ascii="仿宋" w:hAnsi="仿宋" w:eastAsia="仿宋" w:cs="仿宋"/>
          <w:b/>
          <w:bCs/>
          <w:sz w:val="24"/>
          <w:lang w:bidi="ar"/>
        </w:rPr>
      </w:pPr>
      <w:r>
        <w:rPr>
          <w:rFonts w:ascii="仿宋" w:hAnsi="仿宋" w:eastAsia="仿宋" w:cs="仿宋"/>
          <w:b/>
          <w:bCs/>
          <w:sz w:val="24"/>
          <w:lang w:bidi="ar"/>
        </w:rPr>
        <w:t xml:space="preserve">• 打车40分钟 </w:t>
      </w:r>
    </w:p>
    <w:p w14:paraId="779AD9D8">
      <w:pPr>
        <w:spacing w:line="360" w:lineRule="auto"/>
        <w:ind w:firstLine="482" w:firstLineChars="200"/>
        <w:rPr>
          <w:rFonts w:ascii="仿宋" w:hAnsi="仿宋" w:eastAsia="仿宋" w:cs="仿宋"/>
          <w:b/>
          <w:bCs/>
          <w:sz w:val="24"/>
          <w:lang w:bidi="ar"/>
        </w:rPr>
      </w:pPr>
      <w:r>
        <w:rPr>
          <w:rFonts w:ascii="仿宋" w:hAnsi="仿宋" w:eastAsia="仿宋" w:cs="仿宋"/>
          <w:b/>
          <w:bCs/>
          <w:sz w:val="24"/>
          <w:lang w:bidi="ar"/>
        </w:rPr>
        <w:t>• 公交28站（地铁1号线→地 铁10号线→ 698路）</w:t>
      </w:r>
    </w:p>
    <w:p w14:paraId="6E5877FF">
      <w:pPr>
        <w:spacing w:line="360" w:lineRule="auto"/>
        <w:rPr>
          <w:rFonts w:ascii="仿宋" w:hAnsi="仿宋" w:eastAsia="仿宋" w:cs="仿宋"/>
          <w:b/>
          <w:bCs/>
          <w:sz w:val="24"/>
          <w:lang w:bidi="ar"/>
        </w:rPr>
      </w:pPr>
      <w:r>
        <w:rPr>
          <w:rFonts w:ascii="仿宋" w:hAnsi="仿宋" w:eastAsia="仿宋" w:cs="仿宋"/>
          <w:b/>
          <w:bCs/>
          <w:sz w:val="28"/>
          <w:szCs w:val="28"/>
          <w:lang w:bidi="ar"/>
        </w:rPr>
        <w:fldChar w:fldCharType="begin"/>
      </w:r>
      <w:r>
        <w:rPr>
          <w:rFonts w:ascii="仿宋" w:hAnsi="仿宋" w:eastAsia="仿宋" w:cs="仿宋"/>
          <w:b/>
          <w:bCs/>
          <w:sz w:val="28"/>
          <w:szCs w:val="28"/>
          <w:lang w:bidi="ar"/>
        </w:rPr>
        <w:instrText xml:space="preserve"> = 3 \* alphabetic \* MERGEFORMAT </w:instrText>
      </w:r>
      <w:r>
        <w:rPr>
          <w:rFonts w:ascii="仿宋" w:hAnsi="仿宋" w:eastAsia="仿宋" w:cs="仿宋"/>
          <w:b/>
          <w:bCs/>
          <w:sz w:val="28"/>
          <w:szCs w:val="28"/>
          <w:lang w:bidi="ar"/>
        </w:rPr>
        <w:fldChar w:fldCharType="separate"/>
      </w:r>
      <w:r>
        <w:rPr>
          <w:sz w:val="28"/>
          <w:szCs w:val="28"/>
        </w:rPr>
        <w:t>c</w:t>
      </w:r>
      <w:r>
        <w:rPr>
          <w:rFonts w:ascii="仿宋" w:hAnsi="仿宋" w:eastAsia="仿宋" w:cs="仿宋"/>
          <w:b/>
          <w:bCs/>
          <w:sz w:val="28"/>
          <w:szCs w:val="28"/>
          <w:lang w:bidi="ar"/>
        </w:rPr>
        <w:fldChar w:fldCharType="end"/>
      </w:r>
      <w:r>
        <w:rPr>
          <w:rFonts w:hint="eastAsia" w:ascii="仿宋" w:hAnsi="仿宋" w:eastAsia="仿宋" w:cs="仿宋"/>
          <w:b/>
          <w:bCs/>
          <w:sz w:val="28"/>
          <w:szCs w:val="28"/>
          <w:lang w:bidi="ar"/>
        </w:rPr>
        <w:t>.</w:t>
      </w:r>
      <w:r>
        <w:rPr>
          <w:rFonts w:ascii="仿宋" w:hAnsi="仿宋" w:eastAsia="仿宋" w:cs="仿宋"/>
          <w:b/>
          <w:bCs/>
          <w:sz w:val="24"/>
          <w:lang w:bidi="ar"/>
        </w:rPr>
        <w:t xml:space="preserve">距离南京火车站约16公里 </w:t>
      </w:r>
    </w:p>
    <w:p w14:paraId="71CFFFC5">
      <w:pPr>
        <w:spacing w:line="360" w:lineRule="auto"/>
        <w:ind w:firstLine="482" w:firstLineChars="200"/>
        <w:rPr>
          <w:rFonts w:ascii="仿宋" w:hAnsi="仿宋" w:eastAsia="仿宋" w:cs="仿宋"/>
          <w:b/>
          <w:bCs/>
          <w:sz w:val="24"/>
          <w:lang w:bidi="ar"/>
        </w:rPr>
      </w:pPr>
      <w:r>
        <w:rPr>
          <w:rFonts w:ascii="仿宋" w:hAnsi="仿宋" w:eastAsia="仿宋" w:cs="仿宋"/>
          <w:b/>
          <w:bCs/>
          <w:sz w:val="24"/>
          <w:lang w:bidi="ar"/>
        </w:rPr>
        <w:t xml:space="preserve">• 打车30分钟 </w:t>
      </w:r>
    </w:p>
    <w:p w14:paraId="41870BB3">
      <w:pPr>
        <w:spacing w:line="360" w:lineRule="auto"/>
        <w:ind w:firstLine="482" w:firstLineChars="200"/>
        <w:rPr>
          <w:rFonts w:ascii="仿宋" w:hAnsi="仿宋" w:eastAsia="仿宋" w:cs="仿宋"/>
          <w:b/>
          <w:bCs/>
          <w:sz w:val="24"/>
          <w:lang w:bidi="ar"/>
        </w:rPr>
      </w:pPr>
      <w:r>
        <w:rPr>
          <w:rFonts w:ascii="仿宋" w:hAnsi="仿宋" w:eastAsia="仿宋" w:cs="仿宋"/>
          <w:b/>
          <w:bCs/>
          <w:sz w:val="24"/>
          <w:lang w:bidi="ar"/>
        </w:rPr>
        <w:t>• 公交21站（558路→ 698路）</w:t>
      </w:r>
    </w:p>
    <w:p w14:paraId="7D10EF54">
      <w:pPr>
        <w:spacing w:line="360" w:lineRule="auto"/>
        <w:rPr>
          <w:rFonts w:hint="eastAsia" w:ascii="仿宋" w:hAnsi="仿宋" w:eastAsia="仿宋" w:cs="仿宋"/>
          <w:b/>
          <w:bCs/>
          <w:sz w:val="24"/>
          <w:lang w:bidi="ar"/>
        </w:rPr>
      </w:pPr>
    </w:p>
    <w:p w14:paraId="35F0F048">
      <w:pPr>
        <w:spacing w:line="360" w:lineRule="auto"/>
        <w:rPr>
          <w:rFonts w:hint="eastAsia" w:ascii="仿宋" w:hAnsi="仿宋" w:eastAsia="仿宋" w:cs="仿宋"/>
          <w:b/>
          <w:bCs/>
          <w:sz w:val="24"/>
          <w:lang w:bidi="ar"/>
        </w:rPr>
      </w:pPr>
    </w:p>
    <w:p w14:paraId="4319239B">
      <w:pPr>
        <w:spacing w:before="314" w:beforeLines="100" w:after="314" w:afterLines="100" w:line="500" w:lineRule="exact"/>
        <w:rPr>
          <w:rFonts w:hint="eastAsia" w:ascii="仿宋" w:hAnsi="仿宋" w:eastAsia="仿宋" w:cs="仿宋"/>
          <w:sz w:val="32"/>
          <w:szCs w:val="32"/>
          <w:lang w:bidi="ar"/>
        </w:rPr>
        <w:sectPr>
          <w:pgSz w:w="11906" w:h="16838"/>
          <w:pgMar w:top="1440" w:right="1701" w:bottom="1440" w:left="1701" w:header="851" w:footer="992" w:gutter="0"/>
          <w:cols w:space="720" w:num="1"/>
          <w:docGrid w:type="lines" w:linePitch="314" w:charSpace="0"/>
        </w:sectPr>
      </w:pPr>
    </w:p>
    <w:p w14:paraId="418D482A">
      <w:pPr>
        <w:spacing w:line="500" w:lineRule="exact"/>
        <w:rPr>
          <w:rFonts w:hint="eastAsia" w:ascii="仿宋" w:hAnsi="仿宋" w:eastAsia="仿宋" w:cs="仿宋"/>
          <w:sz w:val="32"/>
          <w:szCs w:val="32"/>
          <w:lang w:bidi="ar"/>
        </w:rPr>
      </w:pPr>
      <w:r>
        <w:rPr>
          <w:rFonts w:hint="eastAsia" w:ascii="仿宋" w:hAnsi="仿宋" w:eastAsia="仿宋" w:cs="仿宋"/>
          <w:sz w:val="32"/>
          <w:szCs w:val="32"/>
          <w:lang w:bidi="ar"/>
        </w:rPr>
        <w:t>附件4</w:t>
      </w:r>
    </w:p>
    <w:p w14:paraId="551633B9">
      <w:pPr>
        <w:spacing w:line="500" w:lineRule="exact"/>
        <w:jc w:val="center"/>
        <w:rPr>
          <w:rFonts w:ascii="仿宋" w:hAnsi="仿宋" w:eastAsia="仿宋"/>
          <w:b/>
          <w:bCs/>
          <w:color w:val="000000"/>
          <w:sz w:val="32"/>
          <w:szCs w:val="32"/>
          <w:shd w:val="clear" w:color="auto" w:fill="FFFFFF"/>
        </w:rPr>
      </w:pPr>
      <w:r>
        <w:rPr>
          <w:rFonts w:ascii="仿宋" w:hAnsi="仿宋" w:eastAsia="仿宋"/>
          <w:b/>
          <w:bCs/>
          <w:color w:val="000000"/>
          <w:sz w:val="32"/>
          <w:szCs w:val="32"/>
          <w:shd w:val="clear" w:color="auto" w:fill="FFFFFF"/>
        </w:rPr>
        <w:t>202</w:t>
      </w:r>
      <w:r>
        <w:rPr>
          <w:rFonts w:hint="eastAsia" w:ascii="仿宋" w:hAnsi="仿宋" w:eastAsia="仿宋"/>
          <w:b/>
          <w:bCs/>
          <w:color w:val="000000"/>
          <w:sz w:val="32"/>
          <w:szCs w:val="32"/>
          <w:shd w:val="clear" w:color="auto" w:fill="FFFFFF"/>
        </w:rPr>
        <w:t>5</w:t>
      </w:r>
      <w:r>
        <w:rPr>
          <w:rFonts w:ascii="仿宋" w:hAnsi="仿宋" w:eastAsia="仿宋"/>
          <w:b/>
          <w:bCs/>
          <w:color w:val="000000"/>
          <w:sz w:val="32"/>
          <w:szCs w:val="32"/>
          <w:shd w:val="clear" w:color="auto" w:fill="FFFFFF"/>
        </w:rPr>
        <w:t>年</w:t>
      </w:r>
      <w:r>
        <w:rPr>
          <w:rFonts w:hint="eastAsia" w:ascii="仿宋" w:hAnsi="仿宋" w:eastAsia="仿宋"/>
          <w:b/>
          <w:bCs/>
          <w:color w:val="000000"/>
          <w:sz w:val="32"/>
          <w:szCs w:val="32"/>
          <w:shd w:val="clear" w:color="auto" w:fill="FFFFFF"/>
        </w:rPr>
        <w:t>水电发展大会会场</w:t>
      </w:r>
      <w:r>
        <w:rPr>
          <w:rFonts w:ascii="仿宋" w:hAnsi="仿宋" w:eastAsia="仿宋"/>
          <w:b/>
          <w:bCs/>
          <w:color w:val="000000"/>
          <w:sz w:val="32"/>
          <w:szCs w:val="32"/>
          <w:shd w:val="clear" w:color="auto" w:fill="FFFFFF"/>
        </w:rPr>
        <w:t>信息</w:t>
      </w:r>
    </w:p>
    <w:p w14:paraId="7B0EC5FC">
      <w:pPr>
        <w:spacing w:line="500" w:lineRule="exact"/>
        <w:jc w:val="center"/>
        <w:rPr>
          <w:rFonts w:hint="eastAsia" w:ascii="仿宋" w:hAnsi="仿宋" w:eastAsia="仿宋"/>
          <w:b/>
          <w:bCs/>
          <w:color w:val="000000"/>
          <w:sz w:val="32"/>
          <w:szCs w:val="32"/>
          <w:shd w:val="clear" w:color="auto" w:fill="FFFFFF"/>
        </w:rPr>
      </w:pPr>
    </w:p>
    <w:tbl>
      <w:tblPr>
        <w:tblStyle w:val="9"/>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891"/>
        <w:gridCol w:w="1859"/>
        <w:gridCol w:w="3350"/>
        <w:gridCol w:w="2417"/>
      </w:tblGrid>
      <w:tr w14:paraId="0026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2" w:type="dxa"/>
            <w:gridSpan w:val="2"/>
            <w:noWrap w:val="0"/>
            <w:vAlign w:val="center"/>
          </w:tcPr>
          <w:p w14:paraId="1CF6D4CC">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时  间</w:t>
            </w:r>
          </w:p>
        </w:tc>
        <w:tc>
          <w:tcPr>
            <w:tcW w:w="1859" w:type="dxa"/>
            <w:noWrap w:val="0"/>
            <w:vAlign w:val="center"/>
          </w:tcPr>
          <w:p w14:paraId="5A5D0E29">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会场地点</w:t>
            </w:r>
          </w:p>
        </w:tc>
        <w:tc>
          <w:tcPr>
            <w:tcW w:w="3350" w:type="dxa"/>
            <w:noWrap w:val="0"/>
            <w:vAlign w:val="center"/>
          </w:tcPr>
          <w:p w14:paraId="55C59A25">
            <w:pPr>
              <w:snapToGrid w:val="0"/>
              <w:jc w:val="center"/>
              <w:rPr>
                <w:rFonts w:hint="eastAsia" w:ascii="仿宋_GB2312" w:hAnsi="仿宋_GB2312" w:eastAsia="仿宋_GB2312" w:cs="仿宋_GB2312"/>
                <w:b/>
                <w:bCs/>
                <w:sz w:val="28"/>
                <w:szCs w:val="28"/>
              </w:rPr>
            </w:pPr>
            <w:bookmarkStart w:id="0" w:name="OLE_LINK3"/>
            <w:r>
              <w:rPr>
                <w:rFonts w:hint="eastAsia" w:ascii="仿宋_GB2312" w:hAnsi="仿宋_GB2312" w:eastAsia="仿宋_GB2312" w:cs="仿宋_GB2312"/>
                <w:b/>
                <w:bCs/>
                <w:sz w:val="28"/>
                <w:szCs w:val="28"/>
              </w:rPr>
              <w:t>会议日程</w:t>
            </w:r>
            <w:bookmarkEnd w:id="0"/>
          </w:p>
        </w:tc>
        <w:tc>
          <w:tcPr>
            <w:tcW w:w="2417" w:type="dxa"/>
            <w:noWrap w:val="0"/>
            <w:vAlign w:val="center"/>
          </w:tcPr>
          <w:p w14:paraId="0F624E97">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承 办</w:t>
            </w:r>
          </w:p>
        </w:tc>
      </w:tr>
      <w:tr w14:paraId="3B06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1301" w:type="dxa"/>
            <w:vMerge w:val="restart"/>
            <w:noWrap w:val="0"/>
            <w:vAlign w:val="center"/>
          </w:tcPr>
          <w:p w14:paraId="24E1ACDA">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6月25日</w:t>
            </w:r>
            <w:r>
              <w:rPr>
                <w:rFonts w:hint="eastAsia" w:ascii="仿宋_GB2312" w:hAnsi="仿宋_GB2312" w:eastAsia="仿宋_GB2312" w:cs="仿宋_GB2312"/>
                <w:sz w:val="24"/>
              </w:rPr>
              <w:t>（星期三）</w:t>
            </w:r>
          </w:p>
        </w:tc>
        <w:tc>
          <w:tcPr>
            <w:tcW w:w="891" w:type="dxa"/>
            <w:noWrap w:val="0"/>
            <w:vAlign w:val="center"/>
          </w:tcPr>
          <w:p w14:paraId="6DC77591">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上午</w:t>
            </w:r>
          </w:p>
        </w:tc>
        <w:tc>
          <w:tcPr>
            <w:tcW w:w="1859" w:type="dxa"/>
            <w:noWrap w:val="0"/>
            <w:vAlign w:val="center"/>
          </w:tcPr>
          <w:p w14:paraId="1DDA82C9">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三层金陵厅</w:t>
            </w:r>
          </w:p>
        </w:tc>
        <w:tc>
          <w:tcPr>
            <w:tcW w:w="3350" w:type="dxa"/>
            <w:noWrap w:val="0"/>
            <w:vAlign w:val="center"/>
          </w:tcPr>
          <w:p w14:paraId="68AEB070">
            <w:pPr>
              <w:snapToGrid w:val="0"/>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主会场</w:t>
            </w:r>
            <w:r>
              <w:rPr>
                <w:rFonts w:hint="eastAsia" w:ascii="仿宋_GB2312" w:hAnsi="仿宋_GB2312" w:eastAsia="仿宋_GB2312" w:cs="仿宋_GB2312"/>
                <w:sz w:val="28"/>
                <w:szCs w:val="28"/>
              </w:rPr>
              <w:t>：2025年中国水力发电工程学会学术年会暨水电发展大会</w:t>
            </w:r>
          </w:p>
        </w:tc>
        <w:tc>
          <w:tcPr>
            <w:tcW w:w="2417" w:type="dxa"/>
            <w:noWrap w:val="0"/>
            <w:vAlign w:val="center"/>
          </w:tcPr>
          <w:p w14:paraId="79AE1EAD">
            <w:pPr>
              <w:snapToGrid w:val="0"/>
              <w:spacing w:line="440" w:lineRule="exact"/>
              <w:ind w:right="-118" w:rightChars="-56"/>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shd w:val="clear" w:color="auto" w:fill="FFFFFF"/>
              </w:rPr>
              <w:t>水利部交通运输部国家能源局南京水利科学研究院等单位</w:t>
            </w:r>
          </w:p>
        </w:tc>
      </w:tr>
      <w:tr w14:paraId="5361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1301" w:type="dxa"/>
            <w:vMerge w:val="continue"/>
            <w:noWrap w:val="0"/>
            <w:vAlign w:val="center"/>
          </w:tcPr>
          <w:p w14:paraId="487FA3FD">
            <w:pPr>
              <w:snapToGrid w:val="0"/>
              <w:jc w:val="center"/>
              <w:rPr>
                <w:rFonts w:hint="eastAsia" w:ascii="仿宋_GB2312" w:hAnsi="仿宋_GB2312" w:eastAsia="仿宋_GB2312" w:cs="仿宋_GB2312"/>
                <w:sz w:val="28"/>
                <w:szCs w:val="28"/>
              </w:rPr>
            </w:pPr>
          </w:p>
        </w:tc>
        <w:tc>
          <w:tcPr>
            <w:tcW w:w="891" w:type="dxa"/>
            <w:vMerge w:val="restart"/>
            <w:noWrap w:val="0"/>
            <w:vAlign w:val="center"/>
          </w:tcPr>
          <w:p w14:paraId="66DE4FAC">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下午</w:t>
            </w:r>
          </w:p>
        </w:tc>
        <w:tc>
          <w:tcPr>
            <w:tcW w:w="1859" w:type="dxa"/>
            <w:noWrap w:val="0"/>
            <w:vAlign w:val="center"/>
          </w:tcPr>
          <w:p w14:paraId="6A89096A">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一层锦绣厅</w:t>
            </w:r>
          </w:p>
        </w:tc>
        <w:tc>
          <w:tcPr>
            <w:tcW w:w="3350" w:type="dxa"/>
            <w:noWrap w:val="0"/>
            <w:vAlign w:val="center"/>
          </w:tcPr>
          <w:p w14:paraId="20FE95C2">
            <w:pPr>
              <w:snapToGrid w:val="0"/>
              <w:spacing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分会场一</w:t>
            </w:r>
            <w:r>
              <w:rPr>
                <w:rFonts w:hint="eastAsia" w:ascii="仿宋_GB2312" w:hAnsi="仿宋_GB2312" w:eastAsia="仿宋_GB2312" w:cs="仿宋_GB2312"/>
                <w:sz w:val="28"/>
                <w:szCs w:val="28"/>
              </w:rPr>
              <w:t>：2024年度水电科技奖成果交流会</w:t>
            </w:r>
          </w:p>
        </w:tc>
        <w:tc>
          <w:tcPr>
            <w:tcW w:w="2417" w:type="dxa"/>
            <w:noWrap w:val="0"/>
            <w:vAlign w:val="center"/>
          </w:tcPr>
          <w:p w14:paraId="40366B42">
            <w:pPr>
              <w:snapToGrid w:val="0"/>
              <w:spacing w:line="440" w:lineRule="exact"/>
              <w:ind w:right="-118" w:rightChars="-56"/>
              <w:jc w:val="left"/>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shd w:val="clear" w:color="auto" w:fill="FFFFFF"/>
              </w:rPr>
              <w:t>水利部交通运输部国家能源局南京水利科学研究院</w:t>
            </w:r>
          </w:p>
        </w:tc>
      </w:tr>
      <w:tr w14:paraId="335E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1301" w:type="dxa"/>
            <w:vMerge w:val="continue"/>
            <w:noWrap w:val="0"/>
            <w:vAlign w:val="center"/>
          </w:tcPr>
          <w:p w14:paraId="12A65447">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6E33FB2A">
            <w:pPr>
              <w:snapToGrid w:val="0"/>
              <w:jc w:val="center"/>
              <w:rPr>
                <w:rFonts w:hint="eastAsia" w:ascii="仿宋_GB2312" w:hAnsi="仿宋_GB2312" w:eastAsia="仿宋_GB2312" w:cs="仿宋_GB2312"/>
                <w:sz w:val="28"/>
                <w:szCs w:val="28"/>
              </w:rPr>
            </w:pPr>
          </w:p>
        </w:tc>
        <w:tc>
          <w:tcPr>
            <w:tcW w:w="1859" w:type="dxa"/>
            <w:noWrap w:val="0"/>
            <w:vAlign w:val="center"/>
          </w:tcPr>
          <w:p w14:paraId="2098072E">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二层202</w:t>
            </w:r>
          </w:p>
        </w:tc>
        <w:tc>
          <w:tcPr>
            <w:tcW w:w="3350" w:type="dxa"/>
            <w:noWrap w:val="0"/>
            <w:vAlign w:val="center"/>
          </w:tcPr>
          <w:p w14:paraId="1FDFFFA4">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分会场二</w:t>
            </w:r>
            <w:r>
              <w:rPr>
                <w:rFonts w:hint="eastAsia" w:ascii="仿宋_GB2312" w:hAnsi="仿宋_GB2312" w:eastAsia="仿宋_GB2312" w:cs="仿宋_GB2312"/>
                <w:sz w:val="28"/>
                <w:szCs w:val="28"/>
              </w:rPr>
              <w:t>：水电与新能源青年科学家沙龙（青年托举人才学术沙龙）</w:t>
            </w:r>
          </w:p>
        </w:tc>
        <w:tc>
          <w:tcPr>
            <w:tcW w:w="2417" w:type="dxa"/>
            <w:noWrap w:val="0"/>
            <w:vAlign w:val="center"/>
          </w:tcPr>
          <w:p w14:paraId="565EC188">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中国水力发电工程学会青年工作委员会</w:t>
            </w:r>
          </w:p>
        </w:tc>
      </w:tr>
      <w:tr w14:paraId="58C4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588D0D6A">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7E968F5B">
            <w:pPr>
              <w:snapToGrid w:val="0"/>
              <w:jc w:val="center"/>
              <w:rPr>
                <w:rFonts w:hint="eastAsia" w:ascii="仿宋_GB2312" w:hAnsi="仿宋_GB2312" w:eastAsia="仿宋_GB2312" w:cs="仿宋_GB2312"/>
                <w:sz w:val="28"/>
                <w:szCs w:val="28"/>
              </w:rPr>
            </w:pPr>
          </w:p>
        </w:tc>
        <w:tc>
          <w:tcPr>
            <w:tcW w:w="1859" w:type="dxa"/>
            <w:noWrap w:val="0"/>
            <w:vAlign w:val="center"/>
          </w:tcPr>
          <w:p w14:paraId="3449FA9F">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二层集庆厅</w:t>
            </w:r>
          </w:p>
        </w:tc>
        <w:tc>
          <w:tcPr>
            <w:tcW w:w="3350" w:type="dxa"/>
            <w:noWrap w:val="0"/>
            <w:vAlign w:val="center"/>
          </w:tcPr>
          <w:p w14:paraId="7061079E">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分会场三</w:t>
            </w:r>
            <w:r>
              <w:rPr>
                <w:rFonts w:hint="eastAsia" w:ascii="仿宋_GB2312" w:hAnsi="仿宋_GB2312" w:eastAsia="仿宋_GB2312" w:cs="仿宋_GB2312"/>
                <w:sz w:val="28"/>
                <w:szCs w:val="28"/>
              </w:rPr>
              <w:t>：水风光一体化开发与新型电力系统建设研讨会</w:t>
            </w:r>
          </w:p>
        </w:tc>
        <w:tc>
          <w:tcPr>
            <w:tcW w:w="2417" w:type="dxa"/>
            <w:noWrap w:val="0"/>
            <w:vAlign w:val="center"/>
          </w:tcPr>
          <w:p w14:paraId="7ACC9FE3">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中国水力发电工程学会水风光储多能互补专委会、海洋能专委会、华电科工股份有限公司、国家电投黄河上游水电开发有限责任公司</w:t>
            </w:r>
          </w:p>
        </w:tc>
      </w:tr>
      <w:tr w14:paraId="070E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11029596">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449DD159">
            <w:pPr>
              <w:snapToGrid w:val="0"/>
              <w:jc w:val="center"/>
              <w:rPr>
                <w:rFonts w:hint="eastAsia" w:ascii="仿宋_GB2312" w:hAnsi="仿宋_GB2312" w:eastAsia="仿宋_GB2312" w:cs="仿宋_GB2312"/>
                <w:sz w:val="28"/>
                <w:szCs w:val="28"/>
              </w:rPr>
            </w:pPr>
          </w:p>
        </w:tc>
        <w:tc>
          <w:tcPr>
            <w:tcW w:w="1859" w:type="dxa"/>
            <w:noWrap w:val="0"/>
            <w:vAlign w:val="center"/>
          </w:tcPr>
          <w:p w14:paraId="070A5485">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一层紫金厅1</w:t>
            </w:r>
          </w:p>
        </w:tc>
        <w:tc>
          <w:tcPr>
            <w:tcW w:w="3350" w:type="dxa"/>
            <w:noWrap w:val="0"/>
            <w:vAlign w:val="center"/>
          </w:tcPr>
          <w:p w14:paraId="6B63FC9A">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分会场四</w:t>
            </w:r>
            <w:r>
              <w:rPr>
                <w:rFonts w:hint="eastAsia" w:ascii="仿宋_GB2312" w:hAnsi="仿宋_GB2312" w:eastAsia="仿宋_GB2312" w:cs="仿宋_GB2312"/>
                <w:sz w:val="28"/>
                <w:szCs w:val="28"/>
              </w:rPr>
              <w:t>：水电关键技术智能与智慧化研讨会</w:t>
            </w:r>
          </w:p>
        </w:tc>
        <w:tc>
          <w:tcPr>
            <w:tcW w:w="2417" w:type="dxa"/>
            <w:noWrap w:val="0"/>
            <w:vAlign w:val="center"/>
          </w:tcPr>
          <w:p w14:paraId="7EC4F437">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中国水力发电工程学会智能与智慧化专委会、信息化专委会、水电与新能源控制设备专委会、电力系统自动化专委会</w:t>
            </w:r>
          </w:p>
        </w:tc>
      </w:tr>
      <w:tr w14:paraId="7FF9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3AE491C3">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11CBDE4D">
            <w:pPr>
              <w:snapToGrid w:val="0"/>
              <w:jc w:val="center"/>
              <w:rPr>
                <w:rFonts w:hint="eastAsia" w:ascii="仿宋_GB2312" w:hAnsi="仿宋_GB2312" w:eastAsia="仿宋_GB2312" w:cs="仿宋_GB2312"/>
                <w:sz w:val="28"/>
                <w:szCs w:val="28"/>
              </w:rPr>
            </w:pPr>
          </w:p>
        </w:tc>
        <w:tc>
          <w:tcPr>
            <w:tcW w:w="1859" w:type="dxa"/>
            <w:noWrap w:val="0"/>
            <w:vAlign w:val="center"/>
          </w:tcPr>
          <w:p w14:paraId="3FC17703">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一层紫金厅2</w:t>
            </w:r>
          </w:p>
        </w:tc>
        <w:tc>
          <w:tcPr>
            <w:tcW w:w="3350" w:type="dxa"/>
            <w:noWrap w:val="0"/>
            <w:vAlign w:val="center"/>
          </w:tcPr>
          <w:p w14:paraId="14D1664E">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分会场五</w:t>
            </w:r>
            <w:r>
              <w:rPr>
                <w:rFonts w:hint="eastAsia" w:ascii="仿宋_GB2312" w:hAnsi="仿宋_GB2312" w:eastAsia="仿宋_GB2312" w:cs="仿宋_GB2312"/>
                <w:sz w:val="28"/>
                <w:szCs w:val="28"/>
              </w:rPr>
              <w:t>：中国水力发电工程学会高坝通航工程专委会2025年年会暨第十八次全国通航建筑物学术交流会</w:t>
            </w:r>
          </w:p>
        </w:tc>
        <w:tc>
          <w:tcPr>
            <w:tcW w:w="2417" w:type="dxa"/>
            <w:noWrap w:val="0"/>
            <w:vAlign w:val="center"/>
          </w:tcPr>
          <w:p w14:paraId="606CD66E">
            <w:pPr>
              <w:snapToGrid w:val="0"/>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rPr>
              <w:t>中国水力发电工程学会高坝通航工程</w:t>
            </w:r>
            <w:r>
              <w:rPr>
                <w:rFonts w:hint="eastAsia" w:ascii="仿宋_GB2312" w:hAnsi="仿宋_GB2312" w:eastAsia="仿宋_GB2312" w:cs="仿宋_GB2312"/>
                <w:sz w:val="28"/>
                <w:szCs w:val="28"/>
              </w:rPr>
              <w:t>专委会</w:t>
            </w:r>
          </w:p>
        </w:tc>
      </w:tr>
      <w:tr w14:paraId="12DE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7EFBB957">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4FAE0C0B">
            <w:pPr>
              <w:snapToGrid w:val="0"/>
              <w:jc w:val="center"/>
              <w:rPr>
                <w:rFonts w:hint="eastAsia" w:ascii="仿宋_GB2312" w:hAnsi="仿宋_GB2312" w:eastAsia="仿宋_GB2312" w:cs="仿宋_GB2312"/>
                <w:sz w:val="28"/>
                <w:szCs w:val="28"/>
              </w:rPr>
            </w:pPr>
          </w:p>
        </w:tc>
        <w:tc>
          <w:tcPr>
            <w:tcW w:w="1859" w:type="dxa"/>
            <w:noWrap w:val="0"/>
            <w:vAlign w:val="center"/>
          </w:tcPr>
          <w:p w14:paraId="7D060319">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一层钟山厅</w:t>
            </w:r>
          </w:p>
        </w:tc>
        <w:tc>
          <w:tcPr>
            <w:tcW w:w="3350" w:type="dxa"/>
            <w:noWrap w:val="0"/>
            <w:vAlign w:val="center"/>
          </w:tcPr>
          <w:p w14:paraId="3ED134CE">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分会场六</w:t>
            </w:r>
            <w:r>
              <w:rPr>
                <w:rFonts w:hint="eastAsia" w:ascii="仿宋_GB2312" w:hAnsi="仿宋_GB2312" w:eastAsia="仿宋_GB2312" w:cs="仿宋_GB2312"/>
                <w:sz w:val="28"/>
                <w:szCs w:val="28"/>
              </w:rPr>
              <w:t>：水电与新能源数智化运行管理技术交流会</w:t>
            </w:r>
          </w:p>
        </w:tc>
        <w:tc>
          <w:tcPr>
            <w:tcW w:w="2417" w:type="dxa"/>
            <w:noWrap w:val="0"/>
            <w:vAlign w:val="center"/>
          </w:tcPr>
          <w:p w14:paraId="5334CFE4">
            <w:pPr>
              <w:snapToGrid w:val="0"/>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rPr>
              <w:t>中国水力发电工程学会水电与新能源运行管理专委会、自动化专委会、水力机械专委会、工业控制系统安全专委会</w:t>
            </w:r>
          </w:p>
        </w:tc>
      </w:tr>
      <w:tr w14:paraId="1329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301" w:type="dxa"/>
            <w:vMerge w:val="continue"/>
            <w:noWrap w:val="0"/>
            <w:vAlign w:val="center"/>
          </w:tcPr>
          <w:p w14:paraId="76391369">
            <w:pPr>
              <w:snapToGrid w:val="0"/>
              <w:jc w:val="center"/>
              <w:rPr>
                <w:rFonts w:hint="eastAsia" w:ascii="仿宋_GB2312" w:hAnsi="仿宋_GB2312" w:eastAsia="仿宋_GB2312" w:cs="仿宋_GB2312"/>
                <w:sz w:val="28"/>
                <w:szCs w:val="28"/>
              </w:rPr>
            </w:pPr>
          </w:p>
        </w:tc>
        <w:tc>
          <w:tcPr>
            <w:tcW w:w="891" w:type="dxa"/>
            <w:noWrap w:val="0"/>
            <w:vAlign w:val="center"/>
          </w:tcPr>
          <w:p w14:paraId="06860804">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全天</w:t>
            </w:r>
          </w:p>
        </w:tc>
        <w:tc>
          <w:tcPr>
            <w:tcW w:w="7626" w:type="dxa"/>
            <w:gridSpan w:val="3"/>
            <w:noWrap w:val="0"/>
            <w:vAlign w:val="center"/>
          </w:tcPr>
          <w:p w14:paraId="59D5EFF2">
            <w:pPr>
              <w:snapToGrid w:val="0"/>
              <w:spacing w:line="440" w:lineRule="exact"/>
              <w:jc w:val="center"/>
              <w:rPr>
                <w:rFonts w:hint="eastAsia" w:ascii="仿宋_GB2312" w:hAnsi="仿宋_GB2312" w:eastAsia="仿宋_GB2312" w:cs="仿宋_GB2312"/>
                <w:b/>
                <w:bCs/>
                <w:spacing w:val="-11"/>
                <w:w w:val="95"/>
                <w:sz w:val="28"/>
                <w:szCs w:val="28"/>
              </w:rPr>
            </w:pPr>
            <w:r>
              <w:rPr>
                <w:rFonts w:hint="eastAsia" w:ascii="仿宋_GB2312" w:hAnsi="仿宋_GB2312" w:eastAsia="仿宋_GB2312" w:cs="仿宋_GB2312"/>
                <w:b/>
                <w:bCs/>
                <w:sz w:val="28"/>
                <w:szCs w:val="28"/>
              </w:rPr>
              <w:t>水电与新能源技术装备展</w:t>
            </w:r>
          </w:p>
        </w:tc>
      </w:tr>
      <w:tr w14:paraId="5157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restart"/>
            <w:noWrap w:val="0"/>
            <w:vAlign w:val="center"/>
          </w:tcPr>
          <w:p w14:paraId="0CEE6CAC">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6月26日</w:t>
            </w:r>
            <w:r>
              <w:rPr>
                <w:rFonts w:hint="eastAsia" w:ascii="仿宋_GB2312" w:hAnsi="仿宋_GB2312" w:eastAsia="仿宋_GB2312" w:cs="仿宋_GB2312"/>
                <w:sz w:val="24"/>
              </w:rPr>
              <w:t>（星期四）</w:t>
            </w:r>
          </w:p>
        </w:tc>
        <w:tc>
          <w:tcPr>
            <w:tcW w:w="891" w:type="dxa"/>
            <w:noWrap w:val="0"/>
            <w:vAlign w:val="center"/>
          </w:tcPr>
          <w:p w14:paraId="5306FBC1">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上午</w:t>
            </w:r>
          </w:p>
        </w:tc>
        <w:tc>
          <w:tcPr>
            <w:tcW w:w="1859" w:type="dxa"/>
            <w:noWrap w:val="0"/>
            <w:vAlign w:val="center"/>
          </w:tcPr>
          <w:p w14:paraId="792E4A5D">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一层锦绣厅</w:t>
            </w:r>
          </w:p>
        </w:tc>
        <w:tc>
          <w:tcPr>
            <w:tcW w:w="3350" w:type="dxa"/>
            <w:noWrap w:val="0"/>
            <w:vAlign w:val="center"/>
          </w:tcPr>
          <w:p w14:paraId="01C0427B">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分会场七</w:t>
            </w:r>
            <w:r>
              <w:rPr>
                <w:rFonts w:hint="eastAsia" w:ascii="仿宋_GB2312" w:hAnsi="仿宋_GB2312" w:eastAsia="仿宋_GB2312" w:cs="仿宋_GB2312"/>
                <w:sz w:val="28"/>
                <w:szCs w:val="28"/>
              </w:rPr>
              <w:t>：小水电助力绿色低碳发展国际研讨会</w:t>
            </w:r>
          </w:p>
        </w:tc>
        <w:tc>
          <w:tcPr>
            <w:tcW w:w="2417" w:type="dxa"/>
            <w:noWrap w:val="0"/>
            <w:vAlign w:val="center"/>
          </w:tcPr>
          <w:p w14:paraId="6FA560BC">
            <w:pPr>
              <w:snapToGrid w:val="0"/>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rPr>
              <w:t>中国水力发电工程学会小水电</w:t>
            </w:r>
            <w:r>
              <w:rPr>
                <w:rFonts w:hint="eastAsia" w:ascii="仿宋_GB2312" w:hAnsi="仿宋_GB2312" w:eastAsia="仿宋_GB2312" w:cs="仿宋_GB2312"/>
                <w:sz w:val="28"/>
                <w:szCs w:val="28"/>
              </w:rPr>
              <w:t>专委会</w:t>
            </w:r>
          </w:p>
        </w:tc>
      </w:tr>
      <w:tr w14:paraId="3EDF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69C10F2B">
            <w:pPr>
              <w:snapToGrid w:val="0"/>
              <w:jc w:val="center"/>
              <w:rPr>
                <w:rFonts w:hint="eastAsia" w:ascii="仿宋_GB2312" w:hAnsi="仿宋_GB2312" w:eastAsia="仿宋_GB2312" w:cs="仿宋_GB2312"/>
                <w:sz w:val="28"/>
                <w:szCs w:val="28"/>
              </w:rPr>
            </w:pPr>
          </w:p>
        </w:tc>
        <w:tc>
          <w:tcPr>
            <w:tcW w:w="891" w:type="dxa"/>
            <w:noWrap w:val="0"/>
            <w:vAlign w:val="center"/>
          </w:tcPr>
          <w:p w14:paraId="785278A8">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下午</w:t>
            </w:r>
          </w:p>
        </w:tc>
        <w:tc>
          <w:tcPr>
            <w:tcW w:w="1859" w:type="dxa"/>
            <w:noWrap w:val="0"/>
            <w:vAlign w:val="center"/>
          </w:tcPr>
          <w:p w14:paraId="57E8DC73">
            <w:pPr>
              <w:snapToGrid w:val="0"/>
              <w:jc w:val="center"/>
              <w:rPr>
                <w:rFonts w:hint="eastAsia" w:ascii="仿宋_GB2312" w:hAnsi="仿宋_GB2312" w:eastAsia="仿宋_GB2312" w:cs="仿宋_GB2312"/>
                <w:b/>
                <w:bCs/>
                <w:sz w:val="28"/>
                <w:szCs w:val="28"/>
                <w:highlight w:val="yellow"/>
              </w:rPr>
            </w:pPr>
            <w:r>
              <w:rPr>
                <w:rFonts w:hint="eastAsia" w:ascii="仿宋_GB2312" w:hAnsi="仿宋_GB2312" w:eastAsia="仿宋_GB2312" w:cs="仿宋_GB2312"/>
                <w:b/>
                <w:bCs/>
                <w:sz w:val="28"/>
                <w:szCs w:val="28"/>
              </w:rPr>
              <w:t>一层锦绣厅</w:t>
            </w:r>
          </w:p>
        </w:tc>
        <w:tc>
          <w:tcPr>
            <w:tcW w:w="3350" w:type="dxa"/>
            <w:noWrap w:val="0"/>
            <w:vAlign w:val="center"/>
          </w:tcPr>
          <w:p w14:paraId="66679B6C">
            <w:pPr>
              <w:pStyle w:val="8"/>
              <w:spacing w:line="360" w:lineRule="exact"/>
              <w:ind w:firstLine="0"/>
              <w:rPr>
                <w:rFonts w:hint="eastAsia" w:ascii="仿宋_GB2312" w:hAnsi="仿宋_GB2312" w:eastAsia="仿宋_GB2312" w:cs="仿宋_GB2312"/>
                <w:sz w:val="28"/>
                <w:szCs w:val="28"/>
                <w:highlight w:val="yellow"/>
              </w:rPr>
            </w:pPr>
            <w:r>
              <w:rPr>
                <w:rFonts w:hint="eastAsia" w:ascii="仿宋_GB2312" w:hAnsi="仿宋_GB2312" w:eastAsia="仿宋_GB2312" w:cs="仿宋_GB2312"/>
                <w:b/>
                <w:bCs/>
                <w:sz w:val="28"/>
                <w:szCs w:val="28"/>
              </w:rPr>
              <w:t>分会场十三</w:t>
            </w:r>
            <w:r>
              <w:rPr>
                <w:rFonts w:hint="eastAsia" w:ascii="仿宋_GB2312" w:hAnsi="仿宋_GB2312" w:eastAsia="仿宋_GB2312" w:cs="仿宋_GB2312"/>
                <w:sz w:val="28"/>
                <w:szCs w:val="28"/>
              </w:rPr>
              <w:t>：压缩空气储能技术交流会暨中国水力发电工程学会压缩空气储能专委会成立大会</w:t>
            </w:r>
          </w:p>
        </w:tc>
        <w:tc>
          <w:tcPr>
            <w:tcW w:w="2417" w:type="dxa"/>
            <w:noWrap w:val="0"/>
            <w:vAlign w:val="center"/>
          </w:tcPr>
          <w:p w14:paraId="56E28013">
            <w:pPr>
              <w:snapToGrid w:val="0"/>
              <w:spacing w:line="440" w:lineRule="exact"/>
              <w:rPr>
                <w:rFonts w:hint="eastAsia" w:ascii="仿宋_GB2312" w:hAnsi="仿宋_GB2312" w:eastAsia="仿宋_GB2312" w:cs="仿宋_GB2312"/>
                <w:spacing w:val="-11"/>
                <w:w w:val="95"/>
                <w:sz w:val="28"/>
                <w:szCs w:val="28"/>
                <w:highlight w:val="yellow"/>
              </w:rPr>
            </w:pPr>
            <w:r>
              <w:rPr>
                <w:rFonts w:hint="eastAsia" w:ascii="仿宋_GB2312" w:hAnsi="仿宋_GB2312" w:eastAsia="仿宋_GB2312" w:cs="仿宋_GB2312"/>
                <w:spacing w:val="-11"/>
                <w:w w:val="95"/>
                <w:sz w:val="28"/>
                <w:szCs w:val="28"/>
              </w:rPr>
              <w:t>中国水力发电工程学会压缩空气储能专委会（筹）</w:t>
            </w:r>
          </w:p>
        </w:tc>
      </w:tr>
      <w:tr w14:paraId="3BAC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0F66D4A6">
            <w:pPr>
              <w:snapToGrid w:val="0"/>
              <w:jc w:val="center"/>
              <w:rPr>
                <w:rFonts w:hint="eastAsia" w:ascii="仿宋_GB2312" w:hAnsi="仿宋_GB2312" w:eastAsia="仿宋_GB2312" w:cs="仿宋_GB2312"/>
                <w:sz w:val="28"/>
                <w:szCs w:val="28"/>
              </w:rPr>
            </w:pPr>
          </w:p>
        </w:tc>
        <w:tc>
          <w:tcPr>
            <w:tcW w:w="891" w:type="dxa"/>
            <w:vMerge w:val="restart"/>
            <w:noWrap w:val="0"/>
            <w:vAlign w:val="center"/>
          </w:tcPr>
          <w:p w14:paraId="2AD98277">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全天</w:t>
            </w:r>
          </w:p>
        </w:tc>
        <w:tc>
          <w:tcPr>
            <w:tcW w:w="1859" w:type="dxa"/>
            <w:noWrap w:val="0"/>
            <w:vAlign w:val="center"/>
          </w:tcPr>
          <w:p w14:paraId="181419DF">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一层钟山厅</w:t>
            </w:r>
          </w:p>
        </w:tc>
        <w:tc>
          <w:tcPr>
            <w:tcW w:w="3350" w:type="dxa"/>
            <w:noWrap w:val="0"/>
            <w:vAlign w:val="center"/>
          </w:tcPr>
          <w:p w14:paraId="44C5F697">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分会场八</w:t>
            </w:r>
            <w:r>
              <w:rPr>
                <w:rFonts w:hint="eastAsia" w:ascii="仿宋_GB2312" w:hAnsi="仿宋_GB2312" w:eastAsia="仿宋_GB2312" w:cs="仿宋_GB2312"/>
                <w:sz w:val="28"/>
                <w:szCs w:val="28"/>
              </w:rPr>
              <w:t>：抽水蓄能建设与管理研讨会</w:t>
            </w:r>
          </w:p>
        </w:tc>
        <w:tc>
          <w:tcPr>
            <w:tcW w:w="2417" w:type="dxa"/>
            <w:noWrap w:val="0"/>
            <w:vAlign w:val="center"/>
          </w:tcPr>
          <w:p w14:paraId="1AB06163">
            <w:pPr>
              <w:snapToGrid w:val="0"/>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pacing w:val="-11"/>
                <w:w w:val="95"/>
                <w:sz w:val="28"/>
                <w:szCs w:val="28"/>
              </w:rPr>
              <w:t>中国水力发电工程学会抽水蓄能行业分会</w:t>
            </w:r>
          </w:p>
        </w:tc>
      </w:tr>
      <w:tr w14:paraId="23E9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7417BCAF">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59198FD8">
            <w:pPr>
              <w:snapToGrid w:val="0"/>
              <w:jc w:val="center"/>
              <w:rPr>
                <w:rFonts w:hint="eastAsia" w:ascii="仿宋_GB2312" w:hAnsi="仿宋_GB2312" w:eastAsia="仿宋_GB2312" w:cs="仿宋_GB2312"/>
                <w:sz w:val="28"/>
                <w:szCs w:val="28"/>
              </w:rPr>
            </w:pPr>
          </w:p>
        </w:tc>
        <w:tc>
          <w:tcPr>
            <w:tcW w:w="1859" w:type="dxa"/>
            <w:noWrap w:val="0"/>
            <w:vAlign w:val="center"/>
          </w:tcPr>
          <w:p w14:paraId="6220FF31">
            <w:pPr>
              <w:snapToGrid w:val="0"/>
              <w:jc w:val="center"/>
              <w:rPr>
                <w:rFonts w:hint="eastAsia" w:ascii="仿宋_GB2312" w:hAnsi="仿宋_GB2312" w:eastAsia="仿宋_GB2312" w:cs="仿宋_GB2312"/>
                <w:b/>
                <w:bCs/>
                <w:sz w:val="28"/>
                <w:szCs w:val="28"/>
              </w:rPr>
            </w:pPr>
            <w:bookmarkStart w:id="1" w:name="OLE_LINK22"/>
            <w:r>
              <w:rPr>
                <w:rFonts w:hint="eastAsia" w:ascii="仿宋_GB2312" w:hAnsi="仿宋_GB2312" w:eastAsia="仿宋_GB2312" w:cs="仿宋_GB2312"/>
                <w:b/>
                <w:bCs/>
                <w:sz w:val="28"/>
                <w:szCs w:val="28"/>
              </w:rPr>
              <w:t>二层集庆厅</w:t>
            </w:r>
            <w:bookmarkEnd w:id="1"/>
          </w:p>
        </w:tc>
        <w:tc>
          <w:tcPr>
            <w:tcW w:w="3350" w:type="dxa"/>
            <w:noWrap w:val="0"/>
            <w:vAlign w:val="center"/>
          </w:tcPr>
          <w:p w14:paraId="0B37B019">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分会场九</w:t>
            </w:r>
            <w:r>
              <w:rPr>
                <w:rFonts w:hint="eastAsia" w:ascii="仿宋_GB2312" w:hAnsi="仿宋_GB2312" w:eastAsia="仿宋_GB2312" w:cs="仿宋_GB2312"/>
                <w:sz w:val="28"/>
                <w:szCs w:val="28"/>
              </w:rPr>
              <w:t>：水电创新产业生态研讨会</w:t>
            </w:r>
          </w:p>
        </w:tc>
        <w:tc>
          <w:tcPr>
            <w:tcW w:w="2417" w:type="dxa"/>
            <w:noWrap w:val="0"/>
            <w:vAlign w:val="center"/>
          </w:tcPr>
          <w:p w14:paraId="5A57B142">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中国水力发电工程学会继保与励磁专委会</w:t>
            </w:r>
          </w:p>
        </w:tc>
      </w:tr>
      <w:tr w14:paraId="515C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6E00B4C4">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09A360F4">
            <w:pPr>
              <w:snapToGrid w:val="0"/>
              <w:jc w:val="center"/>
              <w:rPr>
                <w:rFonts w:hint="eastAsia" w:ascii="仿宋_GB2312" w:hAnsi="仿宋_GB2312" w:eastAsia="仿宋_GB2312" w:cs="仿宋_GB2312"/>
                <w:sz w:val="28"/>
                <w:szCs w:val="28"/>
              </w:rPr>
            </w:pPr>
          </w:p>
        </w:tc>
        <w:tc>
          <w:tcPr>
            <w:tcW w:w="1859" w:type="dxa"/>
            <w:noWrap w:val="0"/>
            <w:vAlign w:val="center"/>
          </w:tcPr>
          <w:p w14:paraId="7C10AA44">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一层紫金厅1</w:t>
            </w:r>
          </w:p>
        </w:tc>
        <w:tc>
          <w:tcPr>
            <w:tcW w:w="3350" w:type="dxa"/>
            <w:noWrap w:val="0"/>
            <w:vAlign w:val="center"/>
          </w:tcPr>
          <w:p w14:paraId="783811AE">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分会场十</w:t>
            </w:r>
            <w:r>
              <w:rPr>
                <w:rFonts w:hint="eastAsia" w:ascii="仿宋_GB2312" w:hAnsi="仿宋_GB2312" w:eastAsia="仿宋_GB2312" w:cs="仿宋_GB2312"/>
                <w:sz w:val="28"/>
                <w:szCs w:val="28"/>
              </w:rPr>
              <w:t>：中国水力发电工程学会大坝安全专委会2025年学术年会</w:t>
            </w:r>
          </w:p>
        </w:tc>
        <w:tc>
          <w:tcPr>
            <w:tcW w:w="2417" w:type="dxa"/>
            <w:noWrap w:val="0"/>
            <w:vAlign w:val="center"/>
          </w:tcPr>
          <w:p w14:paraId="54D8D184">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中国水力发电工程学会大坝安全专委会</w:t>
            </w:r>
          </w:p>
        </w:tc>
      </w:tr>
      <w:tr w14:paraId="1285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vMerge w:val="continue"/>
            <w:noWrap w:val="0"/>
            <w:vAlign w:val="center"/>
          </w:tcPr>
          <w:p w14:paraId="44A68F4C">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53961F89">
            <w:pPr>
              <w:snapToGrid w:val="0"/>
              <w:jc w:val="center"/>
              <w:rPr>
                <w:rFonts w:hint="eastAsia" w:ascii="仿宋_GB2312" w:hAnsi="仿宋_GB2312" w:eastAsia="仿宋_GB2312" w:cs="仿宋_GB2312"/>
                <w:sz w:val="28"/>
                <w:szCs w:val="28"/>
              </w:rPr>
            </w:pPr>
          </w:p>
        </w:tc>
        <w:tc>
          <w:tcPr>
            <w:tcW w:w="1859" w:type="dxa"/>
            <w:noWrap w:val="0"/>
            <w:vAlign w:val="center"/>
          </w:tcPr>
          <w:p w14:paraId="06861062">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一层紫金厅2</w:t>
            </w:r>
          </w:p>
        </w:tc>
        <w:tc>
          <w:tcPr>
            <w:tcW w:w="3350" w:type="dxa"/>
            <w:noWrap w:val="0"/>
            <w:vAlign w:val="center"/>
          </w:tcPr>
          <w:p w14:paraId="5557B397">
            <w:pPr>
              <w:snapToGrid w:val="0"/>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分会场十一</w:t>
            </w:r>
            <w:r>
              <w:rPr>
                <w:rFonts w:hint="eastAsia" w:ascii="仿宋_GB2312" w:hAnsi="仿宋_GB2312" w:eastAsia="仿宋_GB2312" w:cs="仿宋_GB2312"/>
                <w:sz w:val="28"/>
                <w:szCs w:val="28"/>
              </w:rPr>
              <w:t>：中国混凝土面板堆石坝 40 年学术研讨会</w:t>
            </w:r>
          </w:p>
        </w:tc>
        <w:tc>
          <w:tcPr>
            <w:tcW w:w="2417" w:type="dxa"/>
            <w:noWrap w:val="0"/>
            <w:vAlign w:val="center"/>
          </w:tcPr>
          <w:p w14:paraId="033F3560">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中国水力发电工程学会混凝土面板堆石坝专委会</w:t>
            </w:r>
          </w:p>
        </w:tc>
      </w:tr>
      <w:tr w14:paraId="6945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1301" w:type="dxa"/>
            <w:vMerge w:val="continue"/>
            <w:noWrap w:val="0"/>
            <w:vAlign w:val="center"/>
          </w:tcPr>
          <w:p w14:paraId="42D3D3AE">
            <w:pPr>
              <w:snapToGrid w:val="0"/>
              <w:jc w:val="center"/>
              <w:rPr>
                <w:rFonts w:hint="eastAsia" w:ascii="仿宋_GB2312" w:hAnsi="仿宋_GB2312" w:eastAsia="仿宋_GB2312" w:cs="仿宋_GB2312"/>
                <w:sz w:val="28"/>
                <w:szCs w:val="28"/>
              </w:rPr>
            </w:pPr>
          </w:p>
        </w:tc>
        <w:tc>
          <w:tcPr>
            <w:tcW w:w="891" w:type="dxa"/>
            <w:vMerge w:val="continue"/>
            <w:noWrap w:val="0"/>
            <w:vAlign w:val="center"/>
          </w:tcPr>
          <w:p w14:paraId="030FAB1C">
            <w:pPr>
              <w:snapToGrid w:val="0"/>
              <w:jc w:val="center"/>
              <w:rPr>
                <w:rFonts w:hint="eastAsia" w:ascii="仿宋_GB2312" w:hAnsi="仿宋_GB2312" w:eastAsia="仿宋_GB2312" w:cs="仿宋_GB2312"/>
                <w:sz w:val="28"/>
                <w:szCs w:val="28"/>
              </w:rPr>
            </w:pPr>
          </w:p>
        </w:tc>
        <w:tc>
          <w:tcPr>
            <w:tcW w:w="1859" w:type="dxa"/>
            <w:noWrap w:val="0"/>
            <w:vAlign w:val="center"/>
          </w:tcPr>
          <w:p w14:paraId="5A9FCAD4">
            <w:pPr>
              <w:snapToGrid w:val="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三层金陵厅</w:t>
            </w:r>
          </w:p>
        </w:tc>
        <w:tc>
          <w:tcPr>
            <w:tcW w:w="3350" w:type="dxa"/>
            <w:noWrap w:val="0"/>
            <w:vAlign w:val="center"/>
          </w:tcPr>
          <w:p w14:paraId="2953B0AF">
            <w:pPr>
              <w:pStyle w:val="8"/>
              <w:spacing w:line="3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分会场十二</w:t>
            </w:r>
            <w:r>
              <w:rPr>
                <w:rFonts w:hint="eastAsia" w:ascii="仿宋_GB2312" w:hAnsi="仿宋_GB2312" w:eastAsia="仿宋_GB2312" w:cs="仿宋_GB2312"/>
                <w:sz w:val="28"/>
                <w:szCs w:val="28"/>
              </w:rPr>
              <w:t>：智慧水电技术发展交流会</w:t>
            </w:r>
          </w:p>
        </w:tc>
        <w:tc>
          <w:tcPr>
            <w:tcW w:w="2417" w:type="dxa"/>
            <w:noWrap w:val="0"/>
            <w:vAlign w:val="center"/>
          </w:tcPr>
          <w:p w14:paraId="5CE85433">
            <w:pPr>
              <w:snapToGrid w:val="0"/>
              <w:spacing w:line="440" w:lineRule="exact"/>
              <w:rPr>
                <w:rFonts w:hint="eastAsia" w:ascii="仿宋_GB2312" w:hAnsi="仿宋_GB2312" w:eastAsia="仿宋_GB2312" w:cs="仿宋_GB2312"/>
                <w:spacing w:val="-11"/>
                <w:w w:val="95"/>
                <w:sz w:val="28"/>
                <w:szCs w:val="28"/>
              </w:rPr>
            </w:pPr>
            <w:r>
              <w:rPr>
                <w:rFonts w:hint="eastAsia" w:ascii="仿宋_GB2312" w:hAnsi="仿宋_GB2312" w:eastAsia="仿宋_GB2312" w:cs="仿宋_GB2312"/>
                <w:spacing w:val="-11"/>
                <w:w w:val="95"/>
                <w:sz w:val="28"/>
                <w:szCs w:val="28"/>
              </w:rPr>
              <w:t>江苏省水力发电工程学会、国电南京自动化股份有限公司</w:t>
            </w:r>
          </w:p>
        </w:tc>
      </w:tr>
      <w:tr w14:paraId="5002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01" w:type="dxa"/>
            <w:vMerge w:val="continue"/>
            <w:noWrap w:val="0"/>
            <w:vAlign w:val="center"/>
          </w:tcPr>
          <w:p w14:paraId="1F393861">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891" w:type="dxa"/>
            <w:vMerge w:val="continue"/>
            <w:noWrap w:val="0"/>
            <w:vAlign w:val="center"/>
          </w:tcPr>
          <w:p w14:paraId="692711AF">
            <w:pPr>
              <w:snapToGrid w:val="0"/>
              <w:jc w:val="center"/>
              <w:rPr>
                <w:rFonts w:hint="eastAsia" w:ascii="仿宋_GB2312" w:hAnsi="仿宋_GB2312" w:eastAsia="仿宋_GB2312" w:cs="仿宋_GB2312"/>
                <w:sz w:val="28"/>
                <w:szCs w:val="28"/>
              </w:rPr>
            </w:pPr>
          </w:p>
        </w:tc>
        <w:tc>
          <w:tcPr>
            <w:tcW w:w="7626" w:type="dxa"/>
            <w:gridSpan w:val="3"/>
            <w:noWrap w:val="0"/>
            <w:vAlign w:val="center"/>
          </w:tcPr>
          <w:p w14:paraId="7D3D312B">
            <w:pPr>
              <w:snapToGrid w:val="0"/>
              <w:spacing w:line="440" w:lineRule="exact"/>
              <w:jc w:val="center"/>
              <w:rPr>
                <w:rFonts w:hint="eastAsia" w:ascii="仿宋_GB2312" w:hAnsi="仿宋_GB2312" w:eastAsia="仿宋_GB2312" w:cs="仿宋_GB2312"/>
                <w:spacing w:val="-11"/>
                <w:w w:val="95"/>
                <w:sz w:val="28"/>
                <w:szCs w:val="28"/>
              </w:rPr>
            </w:pPr>
            <w:r>
              <w:rPr>
                <w:rFonts w:hint="eastAsia" w:ascii="仿宋_GB2312" w:hAnsi="仿宋_GB2312" w:eastAsia="仿宋_GB2312" w:cs="仿宋_GB2312"/>
                <w:b/>
                <w:bCs/>
                <w:sz w:val="28"/>
                <w:szCs w:val="28"/>
              </w:rPr>
              <w:t>水电与新能源技术装备展</w:t>
            </w:r>
          </w:p>
        </w:tc>
      </w:tr>
      <w:tr w14:paraId="1219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1" w:type="dxa"/>
            <w:noWrap w:val="0"/>
            <w:vAlign w:val="center"/>
          </w:tcPr>
          <w:p w14:paraId="096AC098">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6月27日</w:t>
            </w:r>
            <w:r>
              <w:rPr>
                <w:rFonts w:hint="eastAsia" w:ascii="仿宋_GB2312" w:hAnsi="仿宋_GB2312" w:eastAsia="仿宋_GB2312" w:cs="仿宋_GB2312"/>
                <w:sz w:val="24"/>
              </w:rPr>
              <w:t>（星期五）</w:t>
            </w:r>
          </w:p>
        </w:tc>
        <w:tc>
          <w:tcPr>
            <w:tcW w:w="891" w:type="dxa"/>
            <w:noWrap w:val="0"/>
            <w:vAlign w:val="center"/>
          </w:tcPr>
          <w:p w14:paraId="61280F77">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上午</w:t>
            </w:r>
          </w:p>
        </w:tc>
        <w:tc>
          <w:tcPr>
            <w:tcW w:w="7626" w:type="dxa"/>
            <w:gridSpan w:val="3"/>
            <w:noWrap w:val="0"/>
            <w:vAlign w:val="center"/>
          </w:tcPr>
          <w:p w14:paraId="03C28002">
            <w:pPr>
              <w:snapToGrid w:val="0"/>
              <w:spacing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南京水科院</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"http://syjd.nhri.cn/" \t "https://www.nhri.cn/col/col27/_blank" \o "水科学与水工程综合实验基地（铁心桥）"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水科学与水工程综合实验基地（铁心桥）</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考察</w:t>
            </w:r>
          </w:p>
        </w:tc>
      </w:tr>
    </w:tbl>
    <w:p w14:paraId="4482FE17">
      <w:pPr>
        <w:spacing w:after="157" w:afterLines="50" w:line="500" w:lineRule="exact"/>
        <w:jc w:val="center"/>
        <w:rPr>
          <w:rFonts w:hint="eastAsia" w:ascii="黑体" w:hAnsi="黑体" w:eastAsia="黑体" w:cs="仿宋_GB2312"/>
          <w:sz w:val="30"/>
          <w:szCs w:val="30"/>
        </w:rPr>
      </w:pPr>
    </w:p>
    <w:sectPr>
      <w:pgSz w:w="11906" w:h="16838"/>
      <w:pgMar w:top="1440" w:right="1701" w:bottom="1440" w:left="1701"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方正书宋简体">
    <w:altName w:val="宋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Roboto">
    <w:altName w:val="Verdana"/>
    <w:panose1 w:val="02000000000000000000"/>
    <w:charset w:val="00"/>
    <w:family w:val="auto"/>
    <w:pitch w:val="default"/>
    <w:sig w:usb0="E0000AFF" w:usb1="5000217F" w:usb2="00000021" w:usb3="00000000" w:csb0="2000019F"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DDAC8">
    <w:pPr>
      <w:pStyle w:val="6"/>
      <w:jc w:val="center"/>
    </w:pPr>
    <w:r>
      <w:fldChar w:fldCharType="begin"/>
    </w:r>
    <w:r>
      <w:instrText xml:space="preserve"> PAGE   \* MERGEFORMAT </w:instrText>
    </w:r>
    <w:r>
      <w:fldChar w:fldCharType="separate"/>
    </w:r>
    <w:r>
      <w:rPr>
        <w:lang w:val="zh-CN"/>
      </w:rPr>
      <w:t>5</w:t>
    </w:r>
    <w:r>
      <w:rPr>
        <w:lang w:val="zh-CN"/>
      </w:rPr>
      <w:fldChar w:fldCharType="end"/>
    </w:r>
  </w:p>
  <w:p w14:paraId="169A7E0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lNDRjMjkwNDU2ODZhZmFjYjQ0ODJlMzQ5MjFjMjAifQ=="/>
  </w:docVars>
  <w:rsids>
    <w:rsidRoot w:val="00F16E3A"/>
    <w:rsid w:val="0000152A"/>
    <w:rsid w:val="00004D12"/>
    <w:rsid w:val="00011D61"/>
    <w:rsid w:val="00013410"/>
    <w:rsid w:val="000263FF"/>
    <w:rsid w:val="0003618B"/>
    <w:rsid w:val="00040A58"/>
    <w:rsid w:val="000445A1"/>
    <w:rsid w:val="0005103F"/>
    <w:rsid w:val="00053C30"/>
    <w:rsid w:val="00054908"/>
    <w:rsid w:val="00055564"/>
    <w:rsid w:val="00056084"/>
    <w:rsid w:val="00064F1C"/>
    <w:rsid w:val="000705E5"/>
    <w:rsid w:val="00071C09"/>
    <w:rsid w:val="000749A9"/>
    <w:rsid w:val="00075259"/>
    <w:rsid w:val="00080DA9"/>
    <w:rsid w:val="0008346C"/>
    <w:rsid w:val="00083BC9"/>
    <w:rsid w:val="000855A6"/>
    <w:rsid w:val="000878F3"/>
    <w:rsid w:val="000A0485"/>
    <w:rsid w:val="000A1171"/>
    <w:rsid w:val="000A26AB"/>
    <w:rsid w:val="000A4B3B"/>
    <w:rsid w:val="000A6298"/>
    <w:rsid w:val="000B1D9B"/>
    <w:rsid w:val="000B5D44"/>
    <w:rsid w:val="000B6952"/>
    <w:rsid w:val="000B7DE8"/>
    <w:rsid w:val="000C2A82"/>
    <w:rsid w:val="000D1687"/>
    <w:rsid w:val="000D377E"/>
    <w:rsid w:val="000E2674"/>
    <w:rsid w:val="000E4436"/>
    <w:rsid w:val="000E6D70"/>
    <w:rsid w:val="000F0D29"/>
    <w:rsid w:val="000F292C"/>
    <w:rsid w:val="00101603"/>
    <w:rsid w:val="00114931"/>
    <w:rsid w:val="00116CAA"/>
    <w:rsid w:val="001302AC"/>
    <w:rsid w:val="00130394"/>
    <w:rsid w:val="0013526D"/>
    <w:rsid w:val="00150F25"/>
    <w:rsid w:val="0015106D"/>
    <w:rsid w:val="0015649B"/>
    <w:rsid w:val="00162008"/>
    <w:rsid w:val="001766CA"/>
    <w:rsid w:val="00184607"/>
    <w:rsid w:val="001A09DB"/>
    <w:rsid w:val="001A356A"/>
    <w:rsid w:val="001A6340"/>
    <w:rsid w:val="001B11EC"/>
    <w:rsid w:val="001B33DB"/>
    <w:rsid w:val="001C1B7E"/>
    <w:rsid w:val="001C3109"/>
    <w:rsid w:val="001C3A6F"/>
    <w:rsid w:val="001C41C2"/>
    <w:rsid w:val="001D6323"/>
    <w:rsid w:val="001E432E"/>
    <w:rsid w:val="001E7FD4"/>
    <w:rsid w:val="00204E17"/>
    <w:rsid w:val="00205119"/>
    <w:rsid w:val="00206AB4"/>
    <w:rsid w:val="00213E00"/>
    <w:rsid w:val="00215AA4"/>
    <w:rsid w:val="00215C7A"/>
    <w:rsid w:val="00222141"/>
    <w:rsid w:val="002617B3"/>
    <w:rsid w:val="002753A2"/>
    <w:rsid w:val="002756E2"/>
    <w:rsid w:val="00276168"/>
    <w:rsid w:val="002939BD"/>
    <w:rsid w:val="00295D3F"/>
    <w:rsid w:val="002A0DE7"/>
    <w:rsid w:val="002A18DF"/>
    <w:rsid w:val="002A54D5"/>
    <w:rsid w:val="002C2686"/>
    <w:rsid w:val="002C354C"/>
    <w:rsid w:val="002C41A9"/>
    <w:rsid w:val="002C4799"/>
    <w:rsid w:val="002C53BE"/>
    <w:rsid w:val="002D17D0"/>
    <w:rsid w:val="002D51F2"/>
    <w:rsid w:val="002E6619"/>
    <w:rsid w:val="002F2614"/>
    <w:rsid w:val="002F2DDA"/>
    <w:rsid w:val="002F3D3E"/>
    <w:rsid w:val="002F6B75"/>
    <w:rsid w:val="00316176"/>
    <w:rsid w:val="00325D3B"/>
    <w:rsid w:val="00326C88"/>
    <w:rsid w:val="003306E5"/>
    <w:rsid w:val="0033549F"/>
    <w:rsid w:val="00337B06"/>
    <w:rsid w:val="003461AC"/>
    <w:rsid w:val="003563B4"/>
    <w:rsid w:val="0036223B"/>
    <w:rsid w:val="00364E3D"/>
    <w:rsid w:val="00366D41"/>
    <w:rsid w:val="00370BAC"/>
    <w:rsid w:val="003730EF"/>
    <w:rsid w:val="00374639"/>
    <w:rsid w:val="00376C08"/>
    <w:rsid w:val="00376D91"/>
    <w:rsid w:val="00387E28"/>
    <w:rsid w:val="00392EC6"/>
    <w:rsid w:val="003A00D1"/>
    <w:rsid w:val="003A1F5C"/>
    <w:rsid w:val="003A446D"/>
    <w:rsid w:val="003B7884"/>
    <w:rsid w:val="003C06F9"/>
    <w:rsid w:val="003E5402"/>
    <w:rsid w:val="003E72CF"/>
    <w:rsid w:val="003E77C1"/>
    <w:rsid w:val="003F3232"/>
    <w:rsid w:val="003F4327"/>
    <w:rsid w:val="003F4626"/>
    <w:rsid w:val="004030FF"/>
    <w:rsid w:val="0041594B"/>
    <w:rsid w:val="004255B8"/>
    <w:rsid w:val="004335B2"/>
    <w:rsid w:val="00441163"/>
    <w:rsid w:val="00441AAA"/>
    <w:rsid w:val="004447DC"/>
    <w:rsid w:val="00453D85"/>
    <w:rsid w:val="00464E37"/>
    <w:rsid w:val="00465D26"/>
    <w:rsid w:val="00467E93"/>
    <w:rsid w:val="00481ED2"/>
    <w:rsid w:val="00487AC8"/>
    <w:rsid w:val="00491CB2"/>
    <w:rsid w:val="004A2550"/>
    <w:rsid w:val="004B7764"/>
    <w:rsid w:val="004C2175"/>
    <w:rsid w:val="004E03AC"/>
    <w:rsid w:val="004E534C"/>
    <w:rsid w:val="004E589E"/>
    <w:rsid w:val="004F171A"/>
    <w:rsid w:val="004F2168"/>
    <w:rsid w:val="004F7465"/>
    <w:rsid w:val="005054FE"/>
    <w:rsid w:val="00512DF6"/>
    <w:rsid w:val="00514F64"/>
    <w:rsid w:val="00525D9D"/>
    <w:rsid w:val="005263DA"/>
    <w:rsid w:val="00526883"/>
    <w:rsid w:val="00533B93"/>
    <w:rsid w:val="00533D8C"/>
    <w:rsid w:val="00542B74"/>
    <w:rsid w:val="00543D33"/>
    <w:rsid w:val="00543FE8"/>
    <w:rsid w:val="00545B7B"/>
    <w:rsid w:val="005507D0"/>
    <w:rsid w:val="00560737"/>
    <w:rsid w:val="00564D34"/>
    <w:rsid w:val="00565A51"/>
    <w:rsid w:val="005828F6"/>
    <w:rsid w:val="00592D26"/>
    <w:rsid w:val="005A5114"/>
    <w:rsid w:val="005A51A2"/>
    <w:rsid w:val="005B0CBF"/>
    <w:rsid w:val="005C204B"/>
    <w:rsid w:val="005D7B92"/>
    <w:rsid w:val="005E0459"/>
    <w:rsid w:val="005E2982"/>
    <w:rsid w:val="005E2CC4"/>
    <w:rsid w:val="005F5368"/>
    <w:rsid w:val="00601F5F"/>
    <w:rsid w:val="00602137"/>
    <w:rsid w:val="00603C59"/>
    <w:rsid w:val="00605335"/>
    <w:rsid w:val="00610DF0"/>
    <w:rsid w:val="0061356D"/>
    <w:rsid w:val="00627333"/>
    <w:rsid w:val="00634C3E"/>
    <w:rsid w:val="00635EB1"/>
    <w:rsid w:val="006428FD"/>
    <w:rsid w:val="00652BA5"/>
    <w:rsid w:val="006535E3"/>
    <w:rsid w:val="00657EA2"/>
    <w:rsid w:val="00662B35"/>
    <w:rsid w:val="00666EC4"/>
    <w:rsid w:val="00670C4D"/>
    <w:rsid w:val="0067588E"/>
    <w:rsid w:val="00676994"/>
    <w:rsid w:val="00681CE1"/>
    <w:rsid w:val="0068605D"/>
    <w:rsid w:val="006936CC"/>
    <w:rsid w:val="00693A48"/>
    <w:rsid w:val="006A0666"/>
    <w:rsid w:val="006A3DB8"/>
    <w:rsid w:val="006A4B34"/>
    <w:rsid w:val="006C1534"/>
    <w:rsid w:val="006C597A"/>
    <w:rsid w:val="006D0096"/>
    <w:rsid w:val="006E5E54"/>
    <w:rsid w:val="006E66CC"/>
    <w:rsid w:val="00720397"/>
    <w:rsid w:val="00721C44"/>
    <w:rsid w:val="00723AF5"/>
    <w:rsid w:val="007318F7"/>
    <w:rsid w:val="00732A5B"/>
    <w:rsid w:val="00733221"/>
    <w:rsid w:val="00734C9E"/>
    <w:rsid w:val="0073536F"/>
    <w:rsid w:val="00742C26"/>
    <w:rsid w:val="0074444C"/>
    <w:rsid w:val="0074539C"/>
    <w:rsid w:val="007504D3"/>
    <w:rsid w:val="0075131C"/>
    <w:rsid w:val="00755054"/>
    <w:rsid w:val="00761E9A"/>
    <w:rsid w:val="00765DC3"/>
    <w:rsid w:val="007750F3"/>
    <w:rsid w:val="00777AD5"/>
    <w:rsid w:val="00787670"/>
    <w:rsid w:val="00790FCF"/>
    <w:rsid w:val="007936B7"/>
    <w:rsid w:val="007A057C"/>
    <w:rsid w:val="007B1F96"/>
    <w:rsid w:val="007C018D"/>
    <w:rsid w:val="007C362B"/>
    <w:rsid w:val="007D0A7B"/>
    <w:rsid w:val="007E3BEE"/>
    <w:rsid w:val="008039F2"/>
    <w:rsid w:val="00806F21"/>
    <w:rsid w:val="00807A7B"/>
    <w:rsid w:val="00810BEA"/>
    <w:rsid w:val="00811655"/>
    <w:rsid w:val="0081172C"/>
    <w:rsid w:val="00815AEE"/>
    <w:rsid w:val="0082040B"/>
    <w:rsid w:val="008325A1"/>
    <w:rsid w:val="00836FB6"/>
    <w:rsid w:val="008413E8"/>
    <w:rsid w:val="0084221D"/>
    <w:rsid w:val="00845DC9"/>
    <w:rsid w:val="00847C01"/>
    <w:rsid w:val="008514A0"/>
    <w:rsid w:val="008515E5"/>
    <w:rsid w:val="00861A98"/>
    <w:rsid w:val="00865A1F"/>
    <w:rsid w:val="00873C6C"/>
    <w:rsid w:val="008747B0"/>
    <w:rsid w:val="008751E0"/>
    <w:rsid w:val="0088240A"/>
    <w:rsid w:val="00882A77"/>
    <w:rsid w:val="008B0872"/>
    <w:rsid w:val="008B114E"/>
    <w:rsid w:val="008B4FE5"/>
    <w:rsid w:val="008B62A2"/>
    <w:rsid w:val="008B73C5"/>
    <w:rsid w:val="008C2079"/>
    <w:rsid w:val="008D497C"/>
    <w:rsid w:val="008D6E43"/>
    <w:rsid w:val="008E7DDE"/>
    <w:rsid w:val="008F526E"/>
    <w:rsid w:val="008F6852"/>
    <w:rsid w:val="00900288"/>
    <w:rsid w:val="00902B61"/>
    <w:rsid w:val="00921929"/>
    <w:rsid w:val="00927888"/>
    <w:rsid w:val="00930B19"/>
    <w:rsid w:val="00930DFD"/>
    <w:rsid w:val="009317A4"/>
    <w:rsid w:val="00931C89"/>
    <w:rsid w:val="00933A62"/>
    <w:rsid w:val="00953286"/>
    <w:rsid w:val="00954B5A"/>
    <w:rsid w:val="00956564"/>
    <w:rsid w:val="00962B4F"/>
    <w:rsid w:val="00965433"/>
    <w:rsid w:val="0099188B"/>
    <w:rsid w:val="00993562"/>
    <w:rsid w:val="009A127A"/>
    <w:rsid w:val="009A46BA"/>
    <w:rsid w:val="009B306D"/>
    <w:rsid w:val="009B5701"/>
    <w:rsid w:val="009B7CB1"/>
    <w:rsid w:val="009C26B8"/>
    <w:rsid w:val="009C2A41"/>
    <w:rsid w:val="009C70BA"/>
    <w:rsid w:val="009E1C6E"/>
    <w:rsid w:val="00A156E5"/>
    <w:rsid w:val="00A2285C"/>
    <w:rsid w:val="00A25507"/>
    <w:rsid w:val="00A26429"/>
    <w:rsid w:val="00A303B2"/>
    <w:rsid w:val="00A36E4F"/>
    <w:rsid w:val="00A45931"/>
    <w:rsid w:val="00A46E2A"/>
    <w:rsid w:val="00A51523"/>
    <w:rsid w:val="00A52435"/>
    <w:rsid w:val="00A54C32"/>
    <w:rsid w:val="00A73267"/>
    <w:rsid w:val="00A80D5C"/>
    <w:rsid w:val="00A830E8"/>
    <w:rsid w:val="00A83EDA"/>
    <w:rsid w:val="00A8719D"/>
    <w:rsid w:val="00A940CE"/>
    <w:rsid w:val="00A94CDE"/>
    <w:rsid w:val="00AA0395"/>
    <w:rsid w:val="00AA67EC"/>
    <w:rsid w:val="00AA6E72"/>
    <w:rsid w:val="00AD5999"/>
    <w:rsid w:val="00AD7CE2"/>
    <w:rsid w:val="00AE0121"/>
    <w:rsid w:val="00AE0DA5"/>
    <w:rsid w:val="00AE13BA"/>
    <w:rsid w:val="00AE3C1C"/>
    <w:rsid w:val="00AF027E"/>
    <w:rsid w:val="00AF0469"/>
    <w:rsid w:val="00AF13AE"/>
    <w:rsid w:val="00B02537"/>
    <w:rsid w:val="00B03D94"/>
    <w:rsid w:val="00B059AB"/>
    <w:rsid w:val="00B07D77"/>
    <w:rsid w:val="00B12B10"/>
    <w:rsid w:val="00B15E41"/>
    <w:rsid w:val="00B21F86"/>
    <w:rsid w:val="00B24DD1"/>
    <w:rsid w:val="00B36769"/>
    <w:rsid w:val="00B50061"/>
    <w:rsid w:val="00B5060C"/>
    <w:rsid w:val="00B63992"/>
    <w:rsid w:val="00B71991"/>
    <w:rsid w:val="00B82B15"/>
    <w:rsid w:val="00B854D4"/>
    <w:rsid w:val="00B94148"/>
    <w:rsid w:val="00B97B07"/>
    <w:rsid w:val="00BA41C8"/>
    <w:rsid w:val="00BB0CAC"/>
    <w:rsid w:val="00BB1614"/>
    <w:rsid w:val="00BB44A5"/>
    <w:rsid w:val="00BB79DB"/>
    <w:rsid w:val="00BC0EA6"/>
    <w:rsid w:val="00BC3405"/>
    <w:rsid w:val="00BE1A9C"/>
    <w:rsid w:val="00BF6E0E"/>
    <w:rsid w:val="00BF72D0"/>
    <w:rsid w:val="00C0761C"/>
    <w:rsid w:val="00C14208"/>
    <w:rsid w:val="00C14BD9"/>
    <w:rsid w:val="00C22EAB"/>
    <w:rsid w:val="00C30D93"/>
    <w:rsid w:val="00C31ACB"/>
    <w:rsid w:val="00C47CC1"/>
    <w:rsid w:val="00C60727"/>
    <w:rsid w:val="00C648B1"/>
    <w:rsid w:val="00C71609"/>
    <w:rsid w:val="00C96567"/>
    <w:rsid w:val="00C979DC"/>
    <w:rsid w:val="00CA1CB0"/>
    <w:rsid w:val="00CB320D"/>
    <w:rsid w:val="00CB699C"/>
    <w:rsid w:val="00CC7F6B"/>
    <w:rsid w:val="00CD0B50"/>
    <w:rsid w:val="00CD1389"/>
    <w:rsid w:val="00CD1CE9"/>
    <w:rsid w:val="00CD21ED"/>
    <w:rsid w:val="00CD36B3"/>
    <w:rsid w:val="00CE7735"/>
    <w:rsid w:val="00CF2717"/>
    <w:rsid w:val="00CF77B0"/>
    <w:rsid w:val="00D00A30"/>
    <w:rsid w:val="00D15CB2"/>
    <w:rsid w:val="00D343FD"/>
    <w:rsid w:val="00D3492A"/>
    <w:rsid w:val="00D34934"/>
    <w:rsid w:val="00D40E30"/>
    <w:rsid w:val="00D428A1"/>
    <w:rsid w:val="00D458E9"/>
    <w:rsid w:val="00D55927"/>
    <w:rsid w:val="00D64D45"/>
    <w:rsid w:val="00D76F53"/>
    <w:rsid w:val="00D82D65"/>
    <w:rsid w:val="00D847B5"/>
    <w:rsid w:val="00D94003"/>
    <w:rsid w:val="00DA2D0D"/>
    <w:rsid w:val="00DB21C8"/>
    <w:rsid w:val="00DB2203"/>
    <w:rsid w:val="00DB2BD2"/>
    <w:rsid w:val="00DB5188"/>
    <w:rsid w:val="00DB7951"/>
    <w:rsid w:val="00DC7D82"/>
    <w:rsid w:val="00DD1CB8"/>
    <w:rsid w:val="00DD1DA4"/>
    <w:rsid w:val="00DD4A9E"/>
    <w:rsid w:val="00DD6371"/>
    <w:rsid w:val="00DE7A37"/>
    <w:rsid w:val="00DF68B8"/>
    <w:rsid w:val="00DF7538"/>
    <w:rsid w:val="00E05FC9"/>
    <w:rsid w:val="00E116EB"/>
    <w:rsid w:val="00E14500"/>
    <w:rsid w:val="00E17DCD"/>
    <w:rsid w:val="00E17E4C"/>
    <w:rsid w:val="00E20B0B"/>
    <w:rsid w:val="00E21B3C"/>
    <w:rsid w:val="00E226CB"/>
    <w:rsid w:val="00E25538"/>
    <w:rsid w:val="00E371EB"/>
    <w:rsid w:val="00E43588"/>
    <w:rsid w:val="00E67DD8"/>
    <w:rsid w:val="00E724A0"/>
    <w:rsid w:val="00E95F89"/>
    <w:rsid w:val="00EA711F"/>
    <w:rsid w:val="00EB2B89"/>
    <w:rsid w:val="00EC2620"/>
    <w:rsid w:val="00EC2BEC"/>
    <w:rsid w:val="00ED15EB"/>
    <w:rsid w:val="00ED4526"/>
    <w:rsid w:val="00EE2A35"/>
    <w:rsid w:val="00EE5734"/>
    <w:rsid w:val="00F16E3A"/>
    <w:rsid w:val="00F20E76"/>
    <w:rsid w:val="00F22397"/>
    <w:rsid w:val="00F22A6F"/>
    <w:rsid w:val="00F35A97"/>
    <w:rsid w:val="00F40D51"/>
    <w:rsid w:val="00F54E49"/>
    <w:rsid w:val="00F578EF"/>
    <w:rsid w:val="00F84222"/>
    <w:rsid w:val="00F85130"/>
    <w:rsid w:val="00FA5C8A"/>
    <w:rsid w:val="00FB1072"/>
    <w:rsid w:val="00FB2167"/>
    <w:rsid w:val="00FC16D6"/>
    <w:rsid w:val="00FC4497"/>
    <w:rsid w:val="00FD354C"/>
    <w:rsid w:val="00FD6C43"/>
    <w:rsid w:val="00FD7855"/>
    <w:rsid w:val="00FE3E2F"/>
    <w:rsid w:val="00FF5D7F"/>
    <w:rsid w:val="010715D7"/>
    <w:rsid w:val="010F4D4C"/>
    <w:rsid w:val="0116768F"/>
    <w:rsid w:val="01E90844"/>
    <w:rsid w:val="02403CD9"/>
    <w:rsid w:val="03A27284"/>
    <w:rsid w:val="03B02068"/>
    <w:rsid w:val="04A15ED3"/>
    <w:rsid w:val="054C183E"/>
    <w:rsid w:val="054D2B43"/>
    <w:rsid w:val="083E2E96"/>
    <w:rsid w:val="09D92C37"/>
    <w:rsid w:val="0ADF2164"/>
    <w:rsid w:val="0BA1106E"/>
    <w:rsid w:val="0C395F24"/>
    <w:rsid w:val="0CD10396"/>
    <w:rsid w:val="0D6E51CD"/>
    <w:rsid w:val="0DB40989"/>
    <w:rsid w:val="0E656AD0"/>
    <w:rsid w:val="105E2AE5"/>
    <w:rsid w:val="110E0BAC"/>
    <w:rsid w:val="134B3E5F"/>
    <w:rsid w:val="134B7474"/>
    <w:rsid w:val="141554C8"/>
    <w:rsid w:val="15961DF8"/>
    <w:rsid w:val="167823EB"/>
    <w:rsid w:val="16BF2276"/>
    <w:rsid w:val="17FB6783"/>
    <w:rsid w:val="191B7055"/>
    <w:rsid w:val="19E01EC5"/>
    <w:rsid w:val="1BC4709A"/>
    <w:rsid w:val="1BCF23D7"/>
    <w:rsid w:val="1F6E7EA0"/>
    <w:rsid w:val="1FC5502B"/>
    <w:rsid w:val="20B0499A"/>
    <w:rsid w:val="22A10C5C"/>
    <w:rsid w:val="23F07684"/>
    <w:rsid w:val="24175FCB"/>
    <w:rsid w:val="25C07ECC"/>
    <w:rsid w:val="260C44FC"/>
    <w:rsid w:val="26FE3B9A"/>
    <w:rsid w:val="278D2533"/>
    <w:rsid w:val="27A83F1D"/>
    <w:rsid w:val="28FD42C3"/>
    <w:rsid w:val="29C4539D"/>
    <w:rsid w:val="2A070FB7"/>
    <w:rsid w:val="2A1060BE"/>
    <w:rsid w:val="2A8A52DA"/>
    <w:rsid w:val="2A9845F0"/>
    <w:rsid w:val="2B996587"/>
    <w:rsid w:val="2D7A4328"/>
    <w:rsid w:val="2D7D5FD2"/>
    <w:rsid w:val="2E8913B3"/>
    <w:rsid w:val="2F2C7572"/>
    <w:rsid w:val="30853026"/>
    <w:rsid w:val="30956B44"/>
    <w:rsid w:val="314B1A30"/>
    <w:rsid w:val="324C0413"/>
    <w:rsid w:val="327613D0"/>
    <w:rsid w:val="332A7E02"/>
    <w:rsid w:val="359A6901"/>
    <w:rsid w:val="362A4EEC"/>
    <w:rsid w:val="37317C9C"/>
    <w:rsid w:val="384564E0"/>
    <w:rsid w:val="3A013C75"/>
    <w:rsid w:val="3B2E39A5"/>
    <w:rsid w:val="3D7F7195"/>
    <w:rsid w:val="3E3321C4"/>
    <w:rsid w:val="3F033FEC"/>
    <w:rsid w:val="3F6D1F85"/>
    <w:rsid w:val="3F9609BC"/>
    <w:rsid w:val="3FCF8E2E"/>
    <w:rsid w:val="43747E5D"/>
    <w:rsid w:val="43A26AAD"/>
    <w:rsid w:val="43D6135A"/>
    <w:rsid w:val="45EE77EA"/>
    <w:rsid w:val="4748547E"/>
    <w:rsid w:val="47A24893"/>
    <w:rsid w:val="47F7D9F5"/>
    <w:rsid w:val="486D07F1"/>
    <w:rsid w:val="49647AFB"/>
    <w:rsid w:val="496E3B97"/>
    <w:rsid w:val="4AE333DF"/>
    <w:rsid w:val="4B03651F"/>
    <w:rsid w:val="4C6C226D"/>
    <w:rsid w:val="4D253081"/>
    <w:rsid w:val="4D6B16DA"/>
    <w:rsid w:val="4E05458D"/>
    <w:rsid w:val="4E2D4BE1"/>
    <w:rsid w:val="4F0D3BE5"/>
    <w:rsid w:val="4F190BD2"/>
    <w:rsid w:val="50A84B61"/>
    <w:rsid w:val="5344322B"/>
    <w:rsid w:val="539A2935"/>
    <w:rsid w:val="548C31C2"/>
    <w:rsid w:val="55996021"/>
    <w:rsid w:val="55DF2B6F"/>
    <w:rsid w:val="57664CC0"/>
    <w:rsid w:val="57DC4BB3"/>
    <w:rsid w:val="57FE35C3"/>
    <w:rsid w:val="590B5B1F"/>
    <w:rsid w:val="598F04FE"/>
    <w:rsid w:val="59A945D6"/>
    <w:rsid w:val="59AE0B15"/>
    <w:rsid w:val="5A394EB9"/>
    <w:rsid w:val="5DB06759"/>
    <w:rsid w:val="5DB85B2F"/>
    <w:rsid w:val="5DFE0E79"/>
    <w:rsid w:val="5E3D13AA"/>
    <w:rsid w:val="5EA02F4A"/>
    <w:rsid w:val="5FCB1877"/>
    <w:rsid w:val="5FEC802C"/>
    <w:rsid w:val="60573EF9"/>
    <w:rsid w:val="60F32B9D"/>
    <w:rsid w:val="629A41D2"/>
    <w:rsid w:val="64B64767"/>
    <w:rsid w:val="64D83F96"/>
    <w:rsid w:val="652512FD"/>
    <w:rsid w:val="65640A91"/>
    <w:rsid w:val="663F0B50"/>
    <w:rsid w:val="664468A4"/>
    <w:rsid w:val="67EE3D0F"/>
    <w:rsid w:val="685314B5"/>
    <w:rsid w:val="68E12D15"/>
    <w:rsid w:val="69975198"/>
    <w:rsid w:val="69F148BD"/>
    <w:rsid w:val="6A396DCC"/>
    <w:rsid w:val="6A44127C"/>
    <w:rsid w:val="6B225DD0"/>
    <w:rsid w:val="6B344175"/>
    <w:rsid w:val="6C0A3B4F"/>
    <w:rsid w:val="6CA05979"/>
    <w:rsid w:val="6DD51713"/>
    <w:rsid w:val="6E505F87"/>
    <w:rsid w:val="6E7F11A1"/>
    <w:rsid w:val="6E930FFA"/>
    <w:rsid w:val="6EB76105"/>
    <w:rsid w:val="71D13952"/>
    <w:rsid w:val="72A266BC"/>
    <w:rsid w:val="73364E8E"/>
    <w:rsid w:val="73C2417B"/>
    <w:rsid w:val="7457534C"/>
    <w:rsid w:val="74D90161"/>
    <w:rsid w:val="75E7607E"/>
    <w:rsid w:val="769C01A8"/>
    <w:rsid w:val="76E77EBC"/>
    <w:rsid w:val="76FEAB40"/>
    <w:rsid w:val="77AC46E5"/>
    <w:rsid w:val="77FDDB36"/>
    <w:rsid w:val="78212811"/>
    <w:rsid w:val="786C760E"/>
    <w:rsid w:val="7A741675"/>
    <w:rsid w:val="7BCE0F02"/>
    <w:rsid w:val="7BFD7306"/>
    <w:rsid w:val="7CA0464C"/>
    <w:rsid w:val="7DAA6C39"/>
    <w:rsid w:val="7DDB2C8C"/>
    <w:rsid w:val="7E870BA6"/>
    <w:rsid w:val="7EE54599"/>
    <w:rsid w:val="7F5F5E23"/>
    <w:rsid w:val="7FCC3FD4"/>
    <w:rsid w:val="9FB762EF"/>
    <w:rsid w:val="B6DF7942"/>
    <w:rsid w:val="BF6D8AA8"/>
    <w:rsid w:val="BFEFC3C0"/>
    <w:rsid w:val="FB2C96B2"/>
    <w:rsid w:val="FFF74AA7"/>
    <w:rsid w:val="FFFFAC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f" stroke="f">
      <v:fill on="f"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qFormat="1"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iPriority="0" w:semiHidden="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unhideWhenUsed/>
    <w:uiPriority w:val="1"/>
  </w:style>
  <w:style w:type="table" w:default="1" w:styleId="9">
    <w:name w:val="Normal Tabl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Style w:val="9"/>
      <w:tblCellMar>
        <w:top w:w="0" w:type="dxa"/>
        <w:left w:w="108" w:type="dxa"/>
        <w:bottom w:w="0" w:type="dxa"/>
        <w:right w:w="108" w:type="dxa"/>
      </w:tblCellMar>
    </w:tblPr>
  </w:style>
  <w:style w:type="paragraph" w:styleId="2">
    <w:name w:val="Document Map"/>
    <w:basedOn w:val="1"/>
    <w:link w:val="15"/>
    <w:unhideWhenUsed/>
    <w:uiPriority w:val="0"/>
    <w:rPr>
      <w:rFonts w:ascii="宋体"/>
      <w:sz w:val="18"/>
      <w:szCs w:val="18"/>
    </w:rPr>
  </w:style>
  <w:style w:type="paragraph" w:styleId="3">
    <w:name w:val="Body Text"/>
    <w:basedOn w:val="1"/>
    <w:link w:val="16"/>
    <w:unhideWhenUsed/>
    <w:qFormat/>
    <w:uiPriority w:val="1"/>
    <w:pPr>
      <w:autoSpaceDE w:val="0"/>
      <w:autoSpaceDN w:val="0"/>
      <w:adjustRightInd w:val="0"/>
      <w:ind w:left="677"/>
      <w:jc w:val="left"/>
    </w:pPr>
    <w:rPr>
      <w:rFonts w:ascii="宋体" w:hAnsi="宋体"/>
      <w:kern w:val="0"/>
      <w:sz w:val="28"/>
      <w:szCs w:val="28"/>
    </w:rPr>
  </w:style>
  <w:style w:type="paragraph" w:styleId="4">
    <w:name w:val="Date"/>
    <w:basedOn w:val="1"/>
    <w:next w:val="1"/>
    <w:uiPriority w:val="0"/>
    <w:pPr>
      <w:ind w:left="100" w:leftChars="2500"/>
    </w:pPr>
  </w:style>
  <w:style w:type="paragraph" w:styleId="5">
    <w:name w:val="Balloon Text"/>
    <w:basedOn w:val="1"/>
    <w:link w:val="17"/>
    <w:uiPriority w:val="0"/>
    <w:rPr>
      <w:sz w:val="18"/>
      <w:szCs w:val="18"/>
    </w:rPr>
  </w:style>
  <w:style w:type="paragraph" w:styleId="6">
    <w:name w:val="footer"/>
    <w:basedOn w:val="1"/>
    <w:link w:val="18"/>
    <w:qFormat/>
    <w:uiPriority w:val="99"/>
    <w:pPr>
      <w:tabs>
        <w:tab w:val="center" w:pos="4153"/>
        <w:tab w:val="right" w:pos="8306"/>
      </w:tabs>
      <w:snapToGrid w:val="0"/>
      <w:jc w:val="left"/>
    </w:pPr>
    <w:rPr>
      <w:sz w:val="18"/>
      <w:szCs w:val="18"/>
    </w:rPr>
  </w:style>
  <w:style w:type="paragraph" w:styleId="7">
    <w:name w:val="header"/>
    <w:basedOn w:val="1"/>
    <w:link w:val="19"/>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uiPriority w:val="99"/>
    <w:pPr>
      <w:widowControl/>
      <w:spacing w:before="100" w:beforeAutospacing="1" w:after="100" w:afterAutospacing="1" w:line="330" w:lineRule="atLeast"/>
      <w:ind w:firstLine="360"/>
      <w:jc w:val="left"/>
    </w:pPr>
    <w:rPr>
      <w:rFonts w:ascii="ˎ̥" w:hAnsi="ˎ̥" w:cs="宋体"/>
      <w:color w:val="333333"/>
      <w:kern w:val="0"/>
      <w:sz w:val="18"/>
      <w:szCs w:val="18"/>
    </w:rPr>
  </w:style>
  <w:style w:type="table" w:styleId="10">
    <w:name w:val="Table Grid"/>
    <w:basedOn w:val="9"/>
    <w:uiPriority w:val="5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uiPriority w:val="22"/>
    <w:rPr>
      <w:b/>
      <w:bCs/>
    </w:rPr>
  </w:style>
  <w:style w:type="character" w:styleId="13">
    <w:name w:val="FollowedHyperlink"/>
    <w:uiPriority w:val="0"/>
    <w:rPr>
      <w:color w:val="800080"/>
      <w:u w:val="single"/>
    </w:rPr>
  </w:style>
  <w:style w:type="character" w:styleId="14">
    <w:name w:val="Hyperlink"/>
    <w:uiPriority w:val="0"/>
    <w:rPr>
      <w:color w:val="0000FF"/>
      <w:u w:val="single"/>
    </w:rPr>
  </w:style>
  <w:style w:type="character" w:customStyle="1" w:styleId="15">
    <w:name w:val="文档结构图 字符"/>
    <w:link w:val="2"/>
    <w:semiHidden/>
    <w:uiPriority w:val="0"/>
    <w:rPr>
      <w:rFonts w:ascii="宋体"/>
      <w:kern w:val="2"/>
      <w:sz w:val="18"/>
      <w:szCs w:val="18"/>
    </w:rPr>
  </w:style>
  <w:style w:type="character" w:customStyle="1" w:styleId="16">
    <w:name w:val="正文文本 字符"/>
    <w:link w:val="3"/>
    <w:locked/>
    <w:uiPriority w:val="1"/>
    <w:rPr>
      <w:rFonts w:ascii="宋体" w:hAnsi="宋体" w:cs="宋体"/>
      <w:sz w:val="28"/>
      <w:szCs w:val="28"/>
    </w:rPr>
  </w:style>
  <w:style w:type="character" w:customStyle="1" w:styleId="17">
    <w:name w:val="批注框文本 字符"/>
    <w:link w:val="5"/>
    <w:uiPriority w:val="0"/>
    <w:rPr>
      <w:kern w:val="2"/>
      <w:sz w:val="18"/>
      <w:szCs w:val="18"/>
    </w:rPr>
  </w:style>
  <w:style w:type="character" w:customStyle="1" w:styleId="18">
    <w:name w:val="页脚 字符"/>
    <w:link w:val="6"/>
    <w:uiPriority w:val="99"/>
    <w:rPr>
      <w:kern w:val="2"/>
      <w:sz w:val="18"/>
      <w:szCs w:val="18"/>
    </w:rPr>
  </w:style>
  <w:style w:type="character" w:customStyle="1" w:styleId="19">
    <w:name w:val="页眉 字符"/>
    <w:link w:val="7"/>
    <w:uiPriority w:val="0"/>
    <w:rPr>
      <w:kern w:val="2"/>
      <w:sz w:val="18"/>
      <w:szCs w:val="18"/>
    </w:rPr>
  </w:style>
  <w:style w:type="character" w:customStyle="1" w:styleId="20">
    <w:name w:val="正文文本 Char"/>
    <w:semiHidden/>
    <w:uiPriority w:val="0"/>
    <w:rPr>
      <w:kern w:val="2"/>
      <w:sz w:val="21"/>
      <w:szCs w:val="24"/>
    </w:rPr>
  </w:style>
  <w:style w:type="character" w:customStyle="1" w:styleId="21">
    <w:name w:val="样式5 Char"/>
    <w:link w:val="22"/>
    <w:uiPriority w:val="0"/>
    <w:rPr>
      <w:rFonts w:ascii="宋体" w:hAnsi="宋体"/>
      <w:sz w:val="24"/>
    </w:rPr>
  </w:style>
  <w:style w:type="paragraph" w:customStyle="1" w:styleId="22">
    <w:name w:val="样式5"/>
    <w:basedOn w:val="1"/>
    <w:link w:val="21"/>
    <w:uiPriority w:val="0"/>
    <w:pPr>
      <w:tabs>
        <w:tab w:val="left" w:pos="0"/>
        <w:tab w:val="left" w:pos="360"/>
        <w:tab w:val="left" w:pos="8280"/>
      </w:tabs>
      <w:spacing w:line="320" w:lineRule="exact"/>
      <w:ind w:firstLine="200" w:firstLineChars="200"/>
    </w:pPr>
    <w:rPr>
      <w:rFonts w:ascii="宋体" w:hAnsi="宋体"/>
      <w:kern w:val="0"/>
      <w:sz w:val="24"/>
      <w:szCs w:val="20"/>
    </w:rPr>
  </w:style>
  <w:style w:type="paragraph" w:customStyle="1" w:styleId="23">
    <w:name w:val="Table Paragraph"/>
    <w:basedOn w:val="1"/>
    <w:unhideWhenUsed/>
    <w:qFormat/>
    <w:uiPriority w:val="1"/>
    <w:pPr>
      <w:autoSpaceDE w:val="0"/>
      <w:autoSpaceDN w:val="0"/>
      <w:adjustRightInd w:val="0"/>
      <w:jc w:val="left"/>
    </w:pPr>
    <w:rPr>
      <w:kern w:val="0"/>
      <w:sz w:val="24"/>
    </w:rPr>
  </w:style>
  <w:style w:type="paragraph" w:customStyle="1" w:styleId="24">
    <w:name w:val="参考文献"/>
    <w:basedOn w:val="1"/>
    <w:uiPriority w:val="0"/>
    <w:pPr>
      <w:widowControl/>
      <w:tabs>
        <w:tab w:val="left" w:pos="420"/>
      </w:tabs>
      <w:snapToGrid w:val="0"/>
      <w:spacing w:line="252" w:lineRule="exact"/>
      <w:ind w:left="420" w:hanging="420"/>
    </w:pPr>
    <w:rPr>
      <w:rFonts w:eastAsia="方正书宋简体"/>
      <w:spacing w:val="2"/>
      <w:kern w:val="0"/>
      <w:sz w:val="17"/>
      <w:szCs w:val="20"/>
    </w:rPr>
  </w:style>
  <w:style w:type="paragraph" w:styleId="25">
    <w:name w:val="List Paragraph"/>
    <w:basedOn w:val="1"/>
    <w:qFormat/>
    <w:uiPriority w:val="34"/>
    <w:pPr>
      <w:ind w:firstLine="420" w:firstLineChars="200"/>
    </w:pPr>
  </w:style>
  <w:style w:type="character" w:styleId="26">
    <w:name w:val=""/>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7</Pages>
  <Words>838</Words>
  <Characters>861</Characters>
  <Lines>199</Lines>
  <Paragraphs>145</Paragraphs>
  <TotalTime>19</TotalTime>
  <ScaleCrop>false</ScaleCrop>
  <LinksUpToDate>false</LinksUpToDate>
  <CharactersWithSpaces>867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2025-04-18T08:09:00Z</dcterms:created>
  <dc:creator>chenjians</dc:creator>
  <cp:lastModifiedBy>Leiothrix</cp:lastModifiedBy>
  <cp:lastPrinted>2024-04-24T02:59:00Z</cp:lastPrinted>
  <dcterms:modified xsi:type="dcterms:W3CDTF">2025-04-22T01:27:56Z</dcterms:modified>
  <dc:title>中国水力发电工程学会电网调峰与抽水蓄能专业委员会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B4503CD2E3EA4DF3B3C15443DF8414A7_13</vt:lpwstr>
  </property>
  <property fmtid="{D5CDD505-2E9C-101B-9397-08002B2CF9AE}" pid="4" name="KSOTemplateDocerSaveRecord">
    <vt:lpwstr>eyJoZGlkIjoiZjM2YTI1ZjcwNDM4MDFmNjFjZWI5Y2UwYmE5YTU2ODAiLCJ1c2VySWQiOiI0MTA1NzYxNjkifQ==</vt:lpwstr>
  </property>
</Properties>
</file>