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B0AA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0D0B21F">
      <w:pPr>
        <w:kinsoku w:val="0"/>
        <w:overflowPunct w:val="0"/>
        <w:autoSpaceDE w:val="0"/>
        <w:autoSpaceDN w:val="0"/>
        <w:snapToGrid w:val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“健康科普基层行”儿童消化系统疾病规范化</w:t>
      </w:r>
    </w:p>
    <w:p w14:paraId="69B5A86A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诊疗巡讲活动（莱芜站）日程安排</w:t>
      </w:r>
    </w:p>
    <w:p w14:paraId="790AD760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tbl>
      <w:tblPr>
        <w:tblStyle w:val="5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4774"/>
        <w:gridCol w:w="2054"/>
      </w:tblGrid>
      <w:tr w14:paraId="76058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2077" w:type="dxa"/>
            <w:vAlign w:val="center"/>
          </w:tcPr>
          <w:p w14:paraId="542DC7A5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774" w:type="dxa"/>
            <w:vAlign w:val="center"/>
          </w:tcPr>
          <w:p w14:paraId="7B50F076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054" w:type="dxa"/>
            <w:vAlign w:val="center"/>
          </w:tcPr>
          <w:p w14:paraId="6B25D1CE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讲者</w:t>
            </w:r>
          </w:p>
        </w:tc>
      </w:tr>
      <w:tr w14:paraId="4690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2077" w:type="dxa"/>
            <w:vAlign w:val="center"/>
          </w:tcPr>
          <w:p w14:paraId="4CD2E6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8:30-8:50</w:t>
            </w:r>
          </w:p>
        </w:tc>
        <w:tc>
          <w:tcPr>
            <w:tcW w:w="4774" w:type="dxa"/>
            <w:vAlign w:val="center"/>
          </w:tcPr>
          <w:p w14:paraId="51E9CC8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开幕式</w:t>
            </w:r>
          </w:p>
        </w:tc>
        <w:tc>
          <w:tcPr>
            <w:tcW w:w="2054" w:type="dxa"/>
            <w:vAlign w:val="center"/>
          </w:tcPr>
          <w:p w14:paraId="7EBFC6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院长致辞</w:t>
            </w:r>
          </w:p>
        </w:tc>
      </w:tr>
      <w:tr w14:paraId="1116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  <w:jc w:val="center"/>
        </w:trPr>
        <w:tc>
          <w:tcPr>
            <w:tcW w:w="2077" w:type="dxa"/>
            <w:vAlign w:val="center"/>
          </w:tcPr>
          <w:p w14:paraId="22F28EA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8:50-9:20</w:t>
            </w:r>
          </w:p>
        </w:tc>
        <w:tc>
          <w:tcPr>
            <w:tcW w:w="4774" w:type="dxa"/>
            <w:vAlign w:val="center"/>
          </w:tcPr>
          <w:p w14:paraId="12B3040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声带外展固定术在新生儿</w:t>
            </w:r>
          </w:p>
          <w:p w14:paraId="53F0688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双侧声带麻痹中的应用</w:t>
            </w:r>
          </w:p>
        </w:tc>
        <w:tc>
          <w:tcPr>
            <w:tcW w:w="2054" w:type="dxa"/>
            <w:vAlign w:val="center"/>
          </w:tcPr>
          <w:p w14:paraId="0745A6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孙晓卫</w:t>
            </w:r>
          </w:p>
        </w:tc>
      </w:tr>
      <w:tr w14:paraId="5A08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2077" w:type="dxa"/>
            <w:vAlign w:val="center"/>
          </w:tcPr>
          <w:p w14:paraId="2BE90D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9:20-9:50</w:t>
            </w:r>
          </w:p>
        </w:tc>
        <w:tc>
          <w:tcPr>
            <w:tcW w:w="4774" w:type="dxa"/>
            <w:vAlign w:val="center"/>
          </w:tcPr>
          <w:p w14:paraId="26C470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遗传代谢病的早期识别</w:t>
            </w:r>
          </w:p>
        </w:tc>
        <w:tc>
          <w:tcPr>
            <w:tcW w:w="2054" w:type="dxa"/>
            <w:vAlign w:val="center"/>
          </w:tcPr>
          <w:p w14:paraId="591174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韩炳娟</w:t>
            </w:r>
          </w:p>
        </w:tc>
      </w:tr>
      <w:tr w14:paraId="77B98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2077" w:type="dxa"/>
            <w:vAlign w:val="center"/>
          </w:tcPr>
          <w:p w14:paraId="210A906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9:50-10:20</w:t>
            </w:r>
          </w:p>
        </w:tc>
        <w:tc>
          <w:tcPr>
            <w:tcW w:w="4774" w:type="dxa"/>
            <w:vAlign w:val="center"/>
          </w:tcPr>
          <w:p w14:paraId="2D530F5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儿童消化道腐蚀伤临床诊治</w:t>
            </w:r>
          </w:p>
        </w:tc>
        <w:tc>
          <w:tcPr>
            <w:tcW w:w="2054" w:type="dxa"/>
            <w:vAlign w:val="center"/>
          </w:tcPr>
          <w:p w14:paraId="66807ED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魏绪霞</w:t>
            </w:r>
          </w:p>
        </w:tc>
      </w:tr>
      <w:tr w14:paraId="6571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2077" w:type="dxa"/>
            <w:vAlign w:val="center"/>
          </w:tcPr>
          <w:p w14:paraId="23DAD91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10:20-10:50</w:t>
            </w:r>
          </w:p>
        </w:tc>
        <w:tc>
          <w:tcPr>
            <w:tcW w:w="4774" w:type="dxa"/>
            <w:vAlign w:val="center"/>
          </w:tcPr>
          <w:p w14:paraId="1DC833B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癫痫持续状态的临床诊治</w:t>
            </w:r>
          </w:p>
        </w:tc>
        <w:tc>
          <w:tcPr>
            <w:tcW w:w="2054" w:type="dxa"/>
            <w:vAlign w:val="center"/>
          </w:tcPr>
          <w:p w14:paraId="247572F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屈文静</w:t>
            </w:r>
          </w:p>
        </w:tc>
      </w:tr>
      <w:tr w14:paraId="280D4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2077" w:type="dxa"/>
            <w:vAlign w:val="center"/>
          </w:tcPr>
          <w:p w14:paraId="5FD28AC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10:50-11:20</w:t>
            </w:r>
          </w:p>
        </w:tc>
        <w:tc>
          <w:tcPr>
            <w:tcW w:w="4774" w:type="dxa"/>
            <w:vAlign w:val="center"/>
          </w:tcPr>
          <w:p w14:paraId="55AD091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儿童幽门螺杆菌临床诊治</w:t>
            </w:r>
          </w:p>
        </w:tc>
        <w:tc>
          <w:tcPr>
            <w:tcW w:w="2054" w:type="dxa"/>
            <w:vAlign w:val="center"/>
          </w:tcPr>
          <w:p w14:paraId="0A51A6B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张超</w:t>
            </w:r>
          </w:p>
        </w:tc>
      </w:tr>
      <w:tr w14:paraId="0E50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2077" w:type="dxa"/>
            <w:vAlign w:val="center"/>
          </w:tcPr>
          <w:p w14:paraId="49A27C9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11:20-11:50</w:t>
            </w:r>
          </w:p>
        </w:tc>
        <w:tc>
          <w:tcPr>
            <w:tcW w:w="4774" w:type="dxa"/>
            <w:vAlign w:val="center"/>
          </w:tcPr>
          <w:p w14:paraId="48D9BDA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变应性支气管肺曲霉病临床诊治</w:t>
            </w:r>
          </w:p>
        </w:tc>
        <w:tc>
          <w:tcPr>
            <w:tcW w:w="2054" w:type="dxa"/>
            <w:vAlign w:val="center"/>
          </w:tcPr>
          <w:p w14:paraId="507AC8A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李福海</w:t>
            </w:r>
          </w:p>
        </w:tc>
      </w:tr>
      <w:tr w14:paraId="6645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2077" w:type="dxa"/>
            <w:vAlign w:val="center"/>
          </w:tcPr>
          <w:p w14:paraId="23132775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11:50-12:10</w:t>
            </w:r>
          </w:p>
        </w:tc>
        <w:tc>
          <w:tcPr>
            <w:tcW w:w="4774" w:type="dxa"/>
            <w:vAlign w:val="center"/>
          </w:tcPr>
          <w:p w14:paraId="42DF60D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从国际和国内指南变迁</w:t>
            </w:r>
          </w:p>
          <w:p w14:paraId="2C77DAF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看牛奶蛋白过敏的分级管理</w:t>
            </w:r>
          </w:p>
        </w:tc>
        <w:tc>
          <w:tcPr>
            <w:tcW w:w="2054" w:type="dxa"/>
            <w:vAlign w:val="center"/>
          </w:tcPr>
          <w:p w14:paraId="12AD105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杨露</w:t>
            </w:r>
          </w:p>
        </w:tc>
      </w:tr>
      <w:tr w14:paraId="6E78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2077" w:type="dxa"/>
            <w:vAlign w:val="center"/>
          </w:tcPr>
          <w:p w14:paraId="6C4CC60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12:10-12:20</w:t>
            </w:r>
          </w:p>
        </w:tc>
        <w:tc>
          <w:tcPr>
            <w:tcW w:w="4774" w:type="dxa"/>
            <w:vAlign w:val="center"/>
          </w:tcPr>
          <w:p w14:paraId="646A55A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讨论</w:t>
            </w:r>
          </w:p>
        </w:tc>
        <w:tc>
          <w:tcPr>
            <w:tcW w:w="2054" w:type="dxa"/>
            <w:vAlign w:val="center"/>
          </w:tcPr>
          <w:p w14:paraId="67F9B51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全体成员</w:t>
            </w:r>
          </w:p>
        </w:tc>
      </w:tr>
    </w:tbl>
    <w:p w14:paraId="59AFA3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258EA"/>
    <w:rsid w:val="2E4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2025-06-23T02:34:00Z</dcterms:created>
  <dc:creator>韩枫</dc:creator>
  <cp:lastModifiedBy>韩枫</cp:lastModifiedBy>
  <dcterms:modified xsi:type="dcterms:W3CDTF">2025-06-23T02:35:04Z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C8384A59C08043A1A731808D812AFAF4_11</vt:lpwstr>
  </property>
  <property fmtid="{D5CDD505-2E9C-101B-9397-08002B2CF9AE}" pid="4" name="KSOTemplateDocerSaveRecord">
    <vt:lpwstr>eyJoZGlkIjoiYThlNmZlMmU2OWE4ZjEzZDc2ZGVhMTg2MDc1MTk0N2IiLCJ1c2VySWQiOiIzMTc5ODg2MjMifQ==</vt:lpwstr>
  </property>
</Properties>
</file>