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6DEDF">
      <w:pPr>
        <w:pStyle w:val="5"/>
        <w:snapToGrid w:val="0"/>
        <w:ind w:firstLine="0" w:firstLineChars="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w:t>
      </w:r>
    </w:p>
    <w:p w14:paraId="207A6CB2">
      <w:pPr>
        <w:pStyle w:val="5"/>
        <w:snapToGrid w:val="0"/>
        <w:ind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山东省医师协会麻醉舒适化医疗专业委员会全省中青年医师病例演讲比赛复审评分表</w:t>
      </w:r>
    </w:p>
    <w:p w14:paraId="4F2A4C56">
      <w:pPr>
        <w:pStyle w:val="5"/>
        <w:snapToGrid w:val="0"/>
        <w:ind w:firstLine="0" w:firstLineChars="0"/>
        <w:jc w:val="center"/>
        <w:rPr>
          <w:rFonts w:hint="eastAsia" w:ascii="方正小标宋简体" w:hAnsi="方正小标宋简体" w:eastAsia="方正小标宋简体" w:cs="方正小标宋简体"/>
          <w:b w:val="0"/>
          <w:bCs w:val="0"/>
          <w:kern w:val="2"/>
          <w:sz w:val="32"/>
          <w:szCs w:val="32"/>
          <w:lang w:val="en-US" w:eastAsia="zh-CN" w:bidi="ar-SA"/>
        </w:rPr>
      </w:pPr>
    </w:p>
    <w:tbl>
      <w:tblPr>
        <w:tblStyle w:val="3"/>
        <w:tblpPr w:leftFromText="180" w:rightFromText="180" w:vertAnchor="text" w:horzAnchor="page" w:tblpXSpec="center" w:tblpY="258"/>
        <w:tblOverlap w:val="never"/>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6225"/>
        <w:gridCol w:w="1215"/>
        <w:gridCol w:w="1249"/>
      </w:tblGrid>
      <w:tr w14:paraId="75C9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54" w:type="dxa"/>
            <w:gridSpan w:val="4"/>
            <w:shd w:val="clear" w:color="auto" w:fill="auto"/>
            <w:vAlign w:val="center"/>
          </w:tcPr>
          <w:p w14:paraId="0D36C236">
            <w:pPr>
              <w:snapToGrid w:val="0"/>
              <w:spacing w:line="240" w:lineRule="auto"/>
              <w:jc w:val="left"/>
              <w:rPr>
                <w:rFonts w:ascii="仿宋" w:hAnsi="仿宋" w:eastAsia="仿宋" w:cs="Arial"/>
                <w:sz w:val="24"/>
              </w:rPr>
            </w:pPr>
            <w:r>
              <w:rPr>
                <w:rFonts w:hint="eastAsia" w:ascii="仿宋" w:hAnsi="仿宋" w:eastAsia="仿宋" w:cs="Arial"/>
                <w:sz w:val="24"/>
              </w:rPr>
              <w:t xml:space="preserve">评委签字（        ）                             </w:t>
            </w:r>
            <w:r>
              <w:rPr>
                <w:rFonts w:ascii="仿宋" w:hAnsi="仿宋" w:eastAsia="仿宋" w:cs="Arial"/>
                <w:sz w:val="24"/>
              </w:rPr>
              <w:t xml:space="preserve">    </w:t>
            </w:r>
            <w:r>
              <w:rPr>
                <w:rFonts w:hint="eastAsia" w:ascii="仿宋" w:hAnsi="仿宋" w:eastAsia="仿宋" w:cs="Arial"/>
                <w:sz w:val="24"/>
              </w:rPr>
              <w:t>选手（        ）</w:t>
            </w:r>
          </w:p>
        </w:tc>
      </w:tr>
      <w:tr w14:paraId="13DA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5" w:type="dxa"/>
            <w:shd w:val="clear" w:color="auto" w:fill="auto"/>
            <w:vAlign w:val="center"/>
          </w:tcPr>
          <w:p w14:paraId="1EF9B685">
            <w:pPr>
              <w:snapToGrid w:val="0"/>
              <w:spacing w:line="240" w:lineRule="auto"/>
              <w:jc w:val="center"/>
              <w:rPr>
                <w:rFonts w:ascii="仿宋" w:hAnsi="仿宋" w:eastAsia="仿宋" w:cs="Arial"/>
                <w:sz w:val="24"/>
              </w:rPr>
            </w:pPr>
            <w:r>
              <w:rPr>
                <w:rFonts w:hint="eastAsia" w:ascii="仿宋" w:hAnsi="仿宋" w:eastAsia="仿宋" w:cs="Arial"/>
                <w:sz w:val="24"/>
              </w:rPr>
              <w:t>指标</w:t>
            </w:r>
          </w:p>
        </w:tc>
        <w:tc>
          <w:tcPr>
            <w:tcW w:w="6225" w:type="dxa"/>
            <w:shd w:val="clear" w:color="auto" w:fill="auto"/>
            <w:vAlign w:val="center"/>
          </w:tcPr>
          <w:p w14:paraId="243A44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Arial"/>
                <w:sz w:val="24"/>
              </w:rPr>
            </w:pPr>
            <w:r>
              <w:rPr>
                <w:rFonts w:hint="eastAsia" w:ascii="仿宋" w:hAnsi="仿宋" w:eastAsia="仿宋" w:cs="Arial"/>
                <w:sz w:val="24"/>
              </w:rPr>
              <w:t>评分要点</w:t>
            </w:r>
          </w:p>
        </w:tc>
        <w:tc>
          <w:tcPr>
            <w:tcW w:w="1215" w:type="dxa"/>
            <w:shd w:val="clear" w:color="auto" w:fill="auto"/>
            <w:vAlign w:val="center"/>
          </w:tcPr>
          <w:p w14:paraId="5EC41E4A">
            <w:pPr>
              <w:snapToGrid w:val="0"/>
              <w:spacing w:line="240" w:lineRule="auto"/>
              <w:jc w:val="center"/>
              <w:rPr>
                <w:rFonts w:ascii="仿宋" w:hAnsi="仿宋" w:eastAsia="仿宋" w:cs="Arial"/>
                <w:sz w:val="24"/>
              </w:rPr>
            </w:pPr>
            <w:r>
              <w:rPr>
                <w:rFonts w:hint="eastAsia" w:ascii="仿宋" w:hAnsi="仿宋" w:eastAsia="仿宋" w:cs="Arial"/>
                <w:sz w:val="24"/>
              </w:rPr>
              <w:t>满分</w:t>
            </w:r>
          </w:p>
        </w:tc>
        <w:tc>
          <w:tcPr>
            <w:tcW w:w="1249" w:type="dxa"/>
            <w:shd w:val="clear" w:color="auto" w:fill="auto"/>
            <w:vAlign w:val="center"/>
          </w:tcPr>
          <w:p w14:paraId="7F41E7B3">
            <w:pPr>
              <w:snapToGrid w:val="0"/>
              <w:spacing w:line="240" w:lineRule="auto"/>
              <w:jc w:val="center"/>
              <w:rPr>
                <w:rFonts w:ascii="仿宋" w:hAnsi="仿宋" w:eastAsia="仿宋" w:cs="Arial"/>
                <w:sz w:val="24"/>
              </w:rPr>
            </w:pPr>
            <w:r>
              <w:rPr>
                <w:rFonts w:hint="eastAsia" w:ascii="仿宋" w:hAnsi="仿宋" w:eastAsia="仿宋" w:cs="Arial"/>
                <w:sz w:val="24"/>
              </w:rPr>
              <w:t>得分</w:t>
            </w:r>
          </w:p>
        </w:tc>
      </w:tr>
      <w:tr w14:paraId="5DCE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65" w:type="dxa"/>
            <w:vMerge w:val="restart"/>
            <w:shd w:val="clear" w:color="auto" w:fill="auto"/>
            <w:vAlign w:val="center"/>
          </w:tcPr>
          <w:p w14:paraId="2A905098">
            <w:pPr>
              <w:snapToGrid w:val="0"/>
              <w:spacing w:line="360" w:lineRule="auto"/>
              <w:jc w:val="left"/>
              <w:rPr>
                <w:rFonts w:ascii="仿宋" w:hAnsi="仿宋" w:eastAsia="仿宋" w:cs="Arial"/>
                <w:sz w:val="24"/>
              </w:rPr>
            </w:pPr>
            <w:r>
              <w:rPr>
                <w:rFonts w:hint="eastAsia" w:ascii="仿宋" w:hAnsi="仿宋" w:eastAsia="仿宋" w:cs="Arial"/>
                <w:sz w:val="24"/>
              </w:rPr>
              <w:t>病例内容</w:t>
            </w:r>
          </w:p>
          <w:p w14:paraId="04D1679F">
            <w:pPr>
              <w:snapToGrid w:val="0"/>
              <w:spacing w:line="360" w:lineRule="auto"/>
              <w:jc w:val="left"/>
              <w:rPr>
                <w:rFonts w:ascii="仿宋" w:hAnsi="仿宋" w:eastAsia="仿宋" w:cs="Arial"/>
                <w:sz w:val="24"/>
              </w:rPr>
            </w:pPr>
            <w:r>
              <w:rPr>
                <w:rFonts w:hint="eastAsia" w:ascii="仿宋" w:hAnsi="仿宋" w:eastAsia="仿宋" w:cs="Arial"/>
                <w:sz w:val="24"/>
              </w:rPr>
              <w:t>（</w:t>
            </w:r>
            <w:r>
              <w:rPr>
                <w:rFonts w:hint="eastAsia" w:ascii="仿宋" w:hAnsi="仿宋" w:eastAsia="仿宋" w:cs="Arial"/>
                <w:sz w:val="24"/>
                <w:lang w:val="en-US" w:eastAsia="zh-CN"/>
              </w:rPr>
              <w:t>7</w:t>
            </w:r>
            <w:r>
              <w:rPr>
                <w:rFonts w:hint="eastAsia" w:ascii="仿宋" w:hAnsi="仿宋" w:eastAsia="仿宋" w:cs="Arial"/>
                <w:sz w:val="24"/>
              </w:rPr>
              <w:t>0分）</w:t>
            </w:r>
          </w:p>
        </w:tc>
        <w:tc>
          <w:tcPr>
            <w:tcW w:w="6225" w:type="dxa"/>
            <w:shd w:val="clear" w:color="auto" w:fill="auto"/>
            <w:vAlign w:val="center"/>
          </w:tcPr>
          <w:p w14:paraId="4271C17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Arial"/>
                <w:sz w:val="24"/>
              </w:rPr>
            </w:pPr>
            <w:r>
              <w:rPr>
                <w:rFonts w:hint="eastAsia" w:ascii="仿宋" w:hAnsi="仿宋" w:eastAsia="仿宋" w:cs="Arial"/>
                <w:sz w:val="24"/>
              </w:rPr>
              <w:t>（1）病例完整性</w:t>
            </w:r>
            <w:r>
              <w:rPr>
                <w:rFonts w:hint="eastAsia" w:ascii="仿宋" w:hAnsi="仿宋" w:eastAsia="仿宋" w:cs="Arial"/>
                <w:sz w:val="24"/>
                <w:lang w:eastAsia="zh-CN"/>
              </w:rPr>
              <w:t>：</w:t>
            </w:r>
            <w:r>
              <w:rPr>
                <w:rFonts w:hint="eastAsia" w:ascii="仿宋" w:hAnsi="仿宋" w:eastAsia="仿宋" w:cs="Arial"/>
                <w:sz w:val="24"/>
              </w:rPr>
              <w:t>包括患者基本信息、病史、术前评估、麻醉方案、术中管理、术后随访等，内容详实、逻辑清晰。</w:t>
            </w:r>
          </w:p>
        </w:tc>
        <w:tc>
          <w:tcPr>
            <w:tcW w:w="1215" w:type="dxa"/>
            <w:shd w:val="clear" w:color="auto" w:fill="auto"/>
            <w:vAlign w:val="center"/>
          </w:tcPr>
          <w:p w14:paraId="6D403E9F">
            <w:pPr>
              <w:snapToGrid w:val="0"/>
              <w:spacing w:line="240" w:lineRule="auto"/>
              <w:jc w:val="center"/>
              <w:rPr>
                <w:rFonts w:ascii="仿宋" w:hAnsi="仿宋" w:eastAsia="仿宋" w:cs="Arial"/>
                <w:sz w:val="24"/>
              </w:rPr>
            </w:pPr>
            <w:r>
              <w:rPr>
                <w:rFonts w:hint="eastAsia" w:ascii="仿宋" w:hAnsi="仿宋" w:eastAsia="仿宋" w:cs="Arial"/>
                <w:sz w:val="24"/>
              </w:rPr>
              <w:t>10</w:t>
            </w:r>
          </w:p>
        </w:tc>
        <w:tc>
          <w:tcPr>
            <w:tcW w:w="1249" w:type="dxa"/>
            <w:shd w:val="clear" w:color="auto" w:fill="auto"/>
            <w:vAlign w:val="center"/>
          </w:tcPr>
          <w:p w14:paraId="2D7F6D7A">
            <w:pPr>
              <w:snapToGrid w:val="0"/>
              <w:spacing w:line="240" w:lineRule="auto"/>
              <w:jc w:val="left"/>
              <w:rPr>
                <w:rFonts w:ascii="仿宋" w:hAnsi="仿宋" w:eastAsia="仿宋" w:cs="Arial"/>
                <w:sz w:val="24"/>
              </w:rPr>
            </w:pPr>
          </w:p>
        </w:tc>
      </w:tr>
      <w:tr w14:paraId="4EBB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65" w:type="dxa"/>
            <w:vMerge w:val="continue"/>
            <w:shd w:val="clear" w:color="auto" w:fill="auto"/>
            <w:vAlign w:val="center"/>
          </w:tcPr>
          <w:p w14:paraId="749AA655">
            <w:pPr>
              <w:snapToGrid w:val="0"/>
              <w:spacing w:line="360" w:lineRule="auto"/>
              <w:jc w:val="left"/>
              <w:rPr>
                <w:rFonts w:ascii="仿宋" w:hAnsi="仿宋" w:eastAsia="仿宋" w:cs="Arial"/>
                <w:sz w:val="24"/>
              </w:rPr>
            </w:pPr>
          </w:p>
        </w:tc>
        <w:tc>
          <w:tcPr>
            <w:tcW w:w="6225" w:type="dxa"/>
            <w:shd w:val="clear" w:color="auto" w:fill="auto"/>
            <w:vAlign w:val="center"/>
          </w:tcPr>
          <w:p w14:paraId="4AA85A7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Arial"/>
                <w:sz w:val="24"/>
              </w:rPr>
            </w:pPr>
            <w:r>
              <w:rPr>
                <w:rFonts w:hint="eastAsia" w:ascii="仿宋" w:hAnsi="仿宋" w:eastAsia="仿宋" w:cs="Arial"/>
                <w:sz w:val="24"/>
              </w:rPr>
              <w:t>（2）麻醉管理精准性：麻醉方式选择合理，术中监测全面，能充分体现精准麻醉的要素，如麻醉深度、循环管理、液体管理等。</w:t>
            </w:r>
          </w:p>
        </w:tc>
        <w:tc>
          <w:tcPr>
            <w:tcW w:w="1215" w:type="dxa"/>
            <w:shd w:val="clear" w:color="auto" w:fill="auto"/>
            <w:vAlign w:val="center"/>
          </w:tcPr>
          <w:p w14:paraId="779649B7">
            <w:pPr>
              <w:snapToGrid w:val="0"/>
              <w:spacing w:line="240" w:lineRule="auto"/>
              <w:jc w:val="center"/>
              <w:rPr>
                <w:rFonts w:hint="eastAsia" w:ascii="仿宋" w:hAnsi="仿宋" w:eastAsia="仿宋" w:cs="Arial"/>
                <w:sz w:val="24"/>
                <w:lang w:val="en-US" w:eastAsia="zh-CN"/>
              </w:rPr>
            </w:pPr>
            <w:r>
              <w:rPr>
                <w:rFonts w:hint="eastAsia" w:ascii="仿宋" w:hAnsi="仿宋" w:eastAsia="仿宋" w:cs="Arial"/>
                <w:sz w:val="24"/>
                <w:lang w:val="en-US" w:eastAsia="zh-CN"/>
              </w:rPr>
              <w:t>20</w:t>
            </w:r>
          </w:p>
        </w:tc>
        <w:tc>
          <w:tcPr>
            <w:tcW w:w="1249" w:type="dxa"/>
            <w:shd w:val="clear" w:color="auto" w:fill="auto"/>
            <w:vAlign w:val="center"/>
          </w:tcPr>
          <w:p w14:paraId="7D0289FF">
            <w:pPr>
              <w:snapToGrid w:val="0"/>
              <w:spacing w:line="360" w:lineRule="auto"/>
              <w:jc w:val="center"/>
              <w:rPr>
                <w:rFonts w:ascii="仿宋" w:hAnsi="仿宋" w:eastAsia="仿宋" w:cs="Arial"/>
                <w:sz w:val="24"/>
              </w:rPr>
            </w:pPr>
          </w:p>
        </w:tc>
      </w:tr>
      <w:tr w14:paraId="2A28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65" w:type="dxa"/>
            <w:vMerge w:val="continue"/>
            <w:shd w:val="clear" w:color="auto" w:fill="auto"/>
            <w:vAlign w:val="center"/>
          </w:tcPr>
          <w:p w14:paraId="70C2DBED">
            <w:pPr>
              <w:snapToGrid w:val="0"/>
              <w:spacing w:line="360" w:lineRule="auto"/>
              <w:jc w:val="left"/>
              <w:rPr>
                <w:rFonts w:ascii="仿宋" w:hAnsi="仿宋" w:eastAsia="仿宋" w:cs="Arial"/>
                <w:sz w:val="24"/>
              </w:rPr>
            </w:pPr>
          </w:p>
        </w:tc>
        <w:tc>
          <w:tcPr>
            <w:tcW w:w="6225" w:type="dxa"/>
            <w:shd w:val="clear" w:color="auto" w:fill="auto"/>
            <w:vAlign w:val="center"/>
          </w:tcPr>
          <w:p w14:paraId="7A24DC2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Arial"/>
                <w:sz w:val="24"/>
              </w:rPr>
            </w:pPr>
            <w:r>
              <w:rPr>
                <w:rFonts w:hint="eastAsia" w:ascii="仿宋" w:hAnsi="仿宋" w:eastAsia="仿宋" w:cs="Arial"/>
                <w:sz w:val="24"/>
              </w:rPr>
              <w:t>（3）问题处理与分析：对术中出现的问题（如低血压、内环境紊乱、心律失常等）能进行充分讨论并采取恰当的处理措施，引发深入思考。</w:t>
            </w:r>
          </w:p>
        </w:tc>
        <w:tc>
          <w:tcPr>
            <w:tcW w:w="1215" w:type="dxa"/>
            <w:shd w:val="clear" w:color="auto" w:fill="auto"/>
            <w:vAlign w:val="center"/>
          </w:tcPr>
          <w:p w14:paraId="60F446D6">
            <w:pPr>
              <w:snapToGrid w:val="0"/>
              <w:spacing w:line="240" w:lineRule="auto"/>
              <w:jc w:val="center"/>
              <w:rPr>
                <w:rFonts w:hint="eastAsia" w:ascii="仿宋" w:hAnsi="仿宋" w:eastAsia="仿宋" w:cs="Arial"/>
                <w:sz w:val="24"/>
                <w:lang w:val="en-US" w:eastAsia="zh-CN"/>
              </w:rPr>
            </w:pPr>
            <w:r>
              <w:rPr>
                <w:rFonts w:hint="eastAsia" w:ascii="仿宋" w:hAnsi="仿宋" w:eastAsia="仿宋" w:cs="Arial"/>
                <w:sz w:val="24"/>
                <w:lang w:val="en-US" w:eastAsia="zh-CN"/>
              </w:rPr>
              <w:t>20</w:t>
            </w:r>
          </w:p>
        </w:tc>
        <w:tc>
          <w:tcPr>
            <w:tcW w:w="1249" w:type="dxa"/>
            <w:shd w:val="clear" w:color="auto" w:fill="auto"/>
            <w:vAlign w:val="center"/>
          </w:tcPr>
          <w:p w14:paraId="67176BE6">
            <w:pPr>
              <w:snapToGrid w:val="0"/>
              <w:spacing w:line="360" w:lineRule="auto"/>
              <w:jc w:val="center"/>
              <w:rPr>
                <w:rFonts w:ascii="仿宋" w:hAnsi="仿宋" w:eastAsia="仿宋" w:cs="Arial"/>
                <w:sz w:val="24"/>
              </w:rPr>
            </w:pPr>
          </w:p>
        </w:tc>
      </w:tr>
      <w:tr w14:paraId="34F1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65" w:type="dxa"/>
            <w:vMerge w:val="continue"/>
            <w:shd w:val="clear" w:color="auto" w:fill="auto"/>
            <w:vAlign w:val="center"/>
          </w:tcPr>
          <w:p w14:paraId="2DFE6793">
            <w:pPr>
              <w:snapToGrid w:val="0"/>
              <w:spacing w:line="360" w:lineRule="auto"/>
              <w:jc w:val="left"/>
              <w:rPr>
                <w:rFonts w:ascii="仿宋" w:hAnsi="仿宋" w:eastAsia="仿宋" w:cs="Arial"/>
                <w:sz w:val="24"/>
              </w:rPr>
            </w:pPr>
          </w:p>
        </w:tc>
        <w:tc>
          <w:tcPr>
            <w:tcW w:w="6225" w:type="dxa"/>
            <w:shd w:val="clear" w:color="auto" w:fill="auto"/>
            <w:vAlign w:val="center"/>
          </w:tcPr>
          <w:p w14:paraId="205C780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Arial"/>
                <w:sz w:val="24"/>
              </w:rPr>
            </w:pPr>
            <w:r>
              <w:rPr>
                <w:rFonts w:hint="eastAsia" w:ascii="仿宋" w:hAnsi="仿宋" w:eastAsia="仿宋" w:cs="Arial"/>
                <w:sz w:val="24"/>
              </w:rPr>
              <w:t>（4）指南与经验结合：结合国内外指南、循证医学证据及个人临床经验进行科学分析，体现临床诊疗思路和基于病例的思考总结。</w:t>
            </w:r>
          </w:p>
        </w:tc>
        <w:tc>
          <w:tcPr>
            <w:tcW w:w="1215" w:type="dxa"/>
            <w:shd w:val="clear" w:color="auto" w:fill="auto"/>
            <w:vAlign w:val="center"/>
          </w:tcPr>
          <w:p w14:paraId="7C7217A3">
            <w:pPr>
              <w:snapToGrid w:val="0"/>
              <w:spacing w:line="240" w:lineRule="auto"/>
              <w:jc w:val="center"/>
              <w:rPr>
                <w:rFonts w:ascii="仿宋" w:hAnsi="仿宋" w:eastAsia="仿宋" w:cs="Arial"/>
                <w:sz w:val="24"/>
              </w:rPr>
            </w:pPr>
            <w:r>
              <w:rPr>
                <w:rFonts w:hint="eastAsia" w:ascii="仿宋" w:hAnsi="仿宋" w:eastAsia="仿宋" w:cs="Arial"/>
                <w:sz w:val="24"/>
                <w:lang w:val="en-US" w:eastAsia="zh-CN"/>
              </w:rPr>
              <w:t>1</w:t>
            </w:r>
            <w:r>
              <w:rPr>
                <w:rFonts w:hint="eastAsia" w:ascii="仿宋" w:hAnsi="仿宋" w:eastAsia="仿宋" w:cs="Arial"/>
                <w:sz w:val="24"/>
              </w:rPr>
              <w:t>0</w:t>
            </w:r>
          </w:p>
        </w:tc>
        <w:tc>
          <w:tcPr>
            <w:tcW w:w="1249" w:type="dxa"/>
            <w:shd w:val="clear" w:color="auto" w:fill="auto"/>
            <w:vAlign w:val="center"/>
          </w:tcPr>
          <w:p w14:paraId="10CFA412">
            <w:pPr>
              <w:snapToGrid w:val="0"/>
              <w:spacing w:line="360" w:lineRule="auto"/>
              <w:jc w:val="center"/>
              <w:rPr>
                <w:rFonts w:ascii="仿宋" w:hAnsi="仿宋" w:eastAsia="仿宋" w:cs="Arial"/>
                <w:sz w:val="24"/>
              </w:rPr>
            </w:pPr>
          </w:p>
        </w:tc>
      </w:tr>
      <w:tr w14:paraId="107D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265" w:type="dxa"/>
            <w:vMerge w:val="continue"/>
            <w:shd w:val="clear" w:color="auto" w:fill="auto"/>
            <w:vAlign w:val="center"/>
          </w:tcPr>
          <w:p w14:paraId="6BF14D27">
            <w:pPr>
              <w:snapToGrid w:val="0"/>
              <w:spacing w:line="360" w:lineRule="auto"/>
              <w:jc w:val="left"/>
              <w:rPr>
                <w:rFonts w:ascii="仿宋" w:hAnsi="仿宋" w:eastAsia="仿宋" w:cs="Arial"/>
                <w:sz w:val="24"/>
              </w:rPr>
            </w:pPr>
          </w:p>
        </w:tc>
        <w:tc>
          <w:tcPr>
            <w:tcW w:w="6225" w:type="dxa"/>
            <w:shd w:val="clear" w:color="auto" w:fill="auto"/>
            <w:vAlign w:val="center"/>
          </w:tcPr>
          <w:p w14:paraId="1D7AC33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Arial"/>
                <w:sz w:val="24"/>
              </w:rPr>
            </w:pPr>
            <w:r>
              <w:rPr>
                <w:rFonts w:hint="eastAsia" w:ascii="仿宋" w:hAnsi="仿宋" w:eastAsia="仿宋" w:cs="Arial"/>
                <w:sz w:val="24"/>
              </w:rPr>
              <w:t>（5）创新性与临床价值：病例具有创新性、指导性，能够反映临床应用热点、难点问题，对临床实践具有一定的借鉴意义。</w:t>
            </w:r>
          </w:p>
        </w:tc>
        <w:tc>
          <w:tcPr>
            <w:tcW w:w="1215" w:type="dxa"/>
            <w:shd w:val="clear" w:color="auto" w:fill="auto"/>
            <w:vAlign w:val="center"/>
          </w:tcPr>
          <w:p w14:paraId="36DEF792">
            <w:pPr>
              <w:snapToGrid w:val="0"/>
              <w:spacing w:line="240" w:lineRule="auto"/>
              <w:jc w:val="center"/>
              <w:rPr>
                <w:rFonts w:ascii="仿宋" w:hAnsi="仿宋" w:eastAsia="仿宋" w:cs="Arial"/>
                <w:sz w:val="24"/>
              </w:rPr>
            </w:pPr>
            <w:r>
              <w:rPr>
                <w:rFonts w:hint="eastAsia" w:ascii="仿宋" w:hAnsi="仿宋" w:eastAsia="仿宋" w:cs="Arial"/>
                <w:sz w:val="24"/>
              </w:rPr>
              <w:t>10</w:t>
            </w:r>
          </w:p>
        </w:tc>
        <w:tc>
          <w:tcPr>
            <w:tcW w:w="1249" w:type="dxa"/>
            <w:shd w:val="clear" w:color="auto" w:fill="auto"/>
            <w:vAlign w:val="center"/>
          </w:tcPr>
          <w:p w14:paraId="4DEC0201">
            <w:pPr>
              <w:snapToGrid w:val="0"/>
              <w:spacing w:line="360" w:lineRule="auto"/>
              <w:jc w:val="center"/>
              <w:rPr>
                <w:rFonts w:ascii="仿宋" w:hAnsi="仿宋" w:eastAsia="仿宋" w:cs="Arial"/>
                <w:sz w:val="24"/>
              </w:rPr>
            </w:pPr>
          </w:p>
        </w:tc>
      </w:tr>
      <w:tr w14:paraId="5083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5" w:type="dxa"/>
            <w:gridSpan w:val="3"/>
            <w:shd w:val="clear" w:color="auto" w:fill="auto"/>
            <w:vAlign w:val="center"/>
          </w:tcPr>
          <w:p w14:paraId="24FF7EFC">
            <w:pPr>
              <w:snapToGrid w:val="0"/>
              <w:spacing w:line="240" w:lineRule="auto"/>
              <w:jc w:val="center"/>
              <w:rPr>
                <w:rFonts w:ascii="Arial" w:hAnsi="Arial" w:eastAsia="仿宋" w:cs="Arial"/>
                <w:sz w:val="24"/>
              </w:rPr>
            </w:pPr>
            <w:r>
              <w:rPr>
                <w:rFonts w:hint="eastAsia" w:ascii="仿宋" w:hAnsi="仿宋" w:eastAsia="仿宋" w:cs="Arial"/>
                <w:sz w:val="24"/>
              </w:rPr>
              <w:t>合计得分</w:t>
            </w:r>
          </w:p>
        </w:tc>
        <w:tc>
          <w:tcPr>
            <w:tcW w:w="1249" w:type="dxa"/>
            <w:shd w:val="clear" w:color="auto" w:fill="auto"/>
            <w:vAlign w:val="center"/>
          </w:tcPr>
          <w:p w14:paraId="35D521BD">
            <w:pPr>
              <w:snapToGrid w:val="0"/>
              <w:spacing w:line="360" w:lineRule="auto"/>
              <w:jc w:val="center"/>
              <w:rPr>
                <w:rFonts w:ascii="Arial" w:hAnsi="Arial" w:eastAsia="仿宋" w:cs="Arial"/>
                <w:sz w:val="24"/>
              </w:rPr>
            </w:pPr>
          </w:p>
        </w:tc>
      </w:tr>
    </w:tbl>
    <w:p w14:paraId="012B6D80">
      <w:pPr>
        <w:spacing w:line="360" w:lineRule="auto"/>
        <w:jc w:val="left"/>
        <w:rPr>
          <w:rFonts w:hint="default" w:ascii="仿宋" w:hAnsi="仿宋" w:eastAsia="仿宋" w:cs="Arial"/>
          <w:sz w:val="24"/>
          <w:lang w:val="en-US" w:eastAsia="zh-CN"/>
        </w:rPr>
      </w:pPr>
      <w:r>
        <w:rPr>
          <w:rFonts w:hint="default" w:ascii="仿宋" w:hAnsi="仿宋" w:eastAsia="仿宋" w:cs="Arial"/>
          <w:sz w:val="24"/>
          <w:lang w:val="en-US" w:eastAsia="zh-CN"/>
        </w:rPr>
        <w:t>备注：</w:t>
      </w:r>
      <w:r>
        <w:rPr>
          <w:rFonts w:hint="eastAsia" w:ascii="仿宋" w:hAnsi="仿宋" w:eastAsia="仿宋" w:cs="Arial"/>
          <w:sz w:val="24"/>
          <w:lang w:val="en-US" w:eastAsia="zh-CN"/>
        </w:rPr>
        <w:t>复审</w:t>
      </w:r>
      <w:r>
        <w:rPr>
          <w:rFonts w:hint="default" w:ascii="仿宋" w:hAnsi="仿宋" w:eastAsia="仿宋" w:cs="Arial"/>
          <w:sz w:val="24"/>
          <w:lang w:val="en-US" w:eastAsia="zh-CN"/>
        </w:rPr>
        <w:t>评分采用100分制，去掉一个最高分，去掉一个最低分，取其余的平均</w:t>
      </w:r>
      <w:bookmarkStart w:id="0" w:name="_GoBack"/>
      <w:bookmarkEnd w:id="0"/>
      <w:r>
        <w:rPr>
          <w:rFonts w:hint="default" w:ascii="仿宋" w:hAnsi="仿宋" w:eastAsia="仿宋" w:cs="Arial"/>
          <w:sz w:val="24"/>
          <w:lang w:val="en-US" w:eastAsia="zh-CN"/>
        </w:rPr>
        <w:t>分为选手最后得分（保留到小数点后两位）</w:t>
      </w:r>
    </w:p>
    <w:p w14:paraId="5A596C51"/>
    <w:sectPr>
      <w:footerReference r:id="rId3" w:type="default"/>
      <w:pgSz w:w="11906" w:h="16838"/>
      <w:pgMar w:top="1701" w:right="1587" w:bottom="1440" w:left="1587"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A75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4AA3E">
                          <w:pPr>
                            <w:pStyle w:val="2"/>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34AA3E">
                    <w:pPr>
                      <w:pStyle w:val="2"/>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61108"/>
    <w:rsid w:val="15B6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2025-07-09T05:47:00Z</dcterms:created>
  <dc:creator>韩枫</dc:creator>
  <cp:lastModifiedBy>韩枫</cp:lastModifiedBy>
  <dcterms:modified xsi:type="dcterms:W3CDTF">2025-07-09T05:47:53Z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8FB060A9B9D34C10ABCBA0B473BDA170_11</vt:lpwstr>
  </property>
  <property fmtid="{D5CDD505-2E9C-101B-9397-08002B2CF9AE}" pid="4" name="KSOTemplateDocerSaveRecord">
    <vt:lpwstr>eyJoZGlkIjoiYmEzNjBiNWNiMDAzZDAwNTUyM2Q0OTU0YjZiZDhjMDAiLCJ1c2VySWQiOiIzMTc5ODg2MjMifQ==</vt:lpwstr>
  </property>
</Properties>
</file>