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4BFA1">
      <w:pPr>
        <w:spacing w:before="0" w:beforeLines="0" w:line="360" w:lineRule="auto"/>
        <w:rPr>
          <w:rFonts w:hint="eastAsia" w:ascii="黑体" w:hAnsi="黑体" w:eastAsia="黑体" w:cs="仿宋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"/>
          <w:sz w:val="32"/>
          <w:szCs w:val="32"/>
        </w:rPr>
        <w:t>附件</w:t>
      </w:r>
    </w:p>
    <w:p w14:paraId="58D88171">
      <w:pPr>
        <w:spacing w:before="0" w:beforeLines="0"/>
        <w:rPr>
          <w:rFonts w:hint="eastAsia"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儿外科医师分会基层巡讲活动（泰安站）日程</w:t>
      </w:r>
    </w:p>
    <w:p w14:paraId="04EAB2EE">
      <w:pPr>
        <w:spacing w:before="0" w:beforeLines="0"/>
        <w:jc w:val="center"/>
        <w:rPr>
          <w:rFonts w:hint="eastAsia" w:ascii="宋体" w:hAnsi="宋体" w:eastAsia="宋体" w:cs="仿宋"/>
          <w:sz w:val="52"/>
          <w:szCs w:val="52"/>
        </w:rPr>
      </w:pPr>
      <w:r>
        <w:rPr>
          <w:rFonts w:hint="eastAsia" w:ascii="宋体" w:hAnsi="宋体" w:eastAsia="宋体"/>
          <w:sz w:val="32"/>
          <w:szCs w:val="36"/>
        </w:rPr>
        <w:t>2026年11月7日</w:t>
      </w:r>
    </w:p>
    <w:tbl>
      <w:tblPr>
        <w:tblStyle w:val="16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3"/>
        <w:gridCol w:w="3427"/>
        <w:gridCol w:w="3119"/>
        <w:gridCol w:w="1275"/>
      </w:tblGrid>
      <w:tr w14:paraId="16E47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3" w:type="dxa"/>
            <w:vAlign w:val="center"/>
          </w:tcPr>
          <w:p w14:paraId="3ADF16FF">
            <w:pPr>
              <w:spacing w:before="272"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8"/>
              </w:rPr>
              <w:t>时间</w:t>
            </w:r>
          </w:p>
        </w:tc>
        <w:tc>
          <w:tcPr>
            <w:tcW w:w="3427" w:type="dxa"/>
            <w:vAlign w:val="center"/>
          </w:tcPr>
          <w:p w14:paraId="1B8219DE">
            <w:pPr>
              <w:spacing w:before="272"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8"/>
              </w:rPr>
              <w:t>内容</w:t>
            </w:r>
          </w:p>
        </w:tc>
        <w:tc>
          <w:tcPr>
            <w:tcW w:w="3119" w:type="dxa"/>
            <w:vAlign w:val="center"/>
          </w:tcPr>
          <w:p w14:paraId="69271C55">
            <w:pPr>
              <w:spacing w:before="272"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8"/>
              </w:rPr>
              <w:t>讲者</w:t>
            </w:r>
          </w:p>
        </w:tc>
        <w:tc>
          <w:tcPr>
            <w:tcW w:w="1275" w:type="dxa"/>
            <w:vAlign w:val="center"/>
          </w:tcPr>
          <w:p w14:paraId="1C76DC0C">
            <w:pPr>
              <w:spacing w:before="272"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8"/>
              </w:rPr>
              <w:t>主持</w:t>
            </w:r>
          </w:p>
        </w:tc>
      </w:tr>
      <w:tr w14:paraId="3C9F4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3" w:type="dxa"/>
            <w:vAlign w:val="center"/>
          </w:tcPr>
          <w:p w14:paraId="55151663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8:50-09:00</w:t>
            </w:r>
          </w:p>
        </w:tc>
        <w:tc>
          <w:tcPr>
            <w:tcW w:w="3427" w:type="dxa"/>
            <w:vAlign w:val="center"/>
          </w:tcPr>
          <w:p w14:paraId="2508ADBB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致辞</w:t>
            </w:r>
          </w:p>
        </w:tc>
        <w:tc>
          <w:tcPr>
            <w:tcW w:w="3119" w:type="dxa"/>
            <w:vAlign w:val="center"/>
          </w:tcPr>
          <w:p w14:paraId="58FDA9A3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泰安市中心医院 王国军</w:t>
            </w:r>
          </w:p>
        </w:tc>
        <w:tc>
          <w:tcPr>
            <w:tcW w:w="1275" w:type="dxa"/>
            <w:vAlign w:val="center"/>
          </w:tcPr>
          <w:p w14:paraId="1661AFBA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赵  斌</w:t>
            </w:r>
          </w:p>
        </w:tc>
      </w:tr>
      <w:tr w14:paraId="5166F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3" w:type="dxa"/>
            <w:vAlign w:val="center"/>
          </w:tcPr>
          <w:p w14:paraId="44773E82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09:00-09:30</w:t>
            </w:r>
          </w:p>
        </w:tc>
        <w:tc>
          <w:tcPr>
            <w:tcW w:w="3427" w:type="dxa"/>
            <w:vAlign w:val="center"/>
          </w:tcPr>
          <w:p w14:paraId="2DA5E1D0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0"/>
              </w:rPr>
              <w:t>儿童短肠综合征与肠康复</w:t>
            </w:r>
          </w:p>
        </w:tc>
        <w:tc>
          <w:tcPr>
            <w:tcW w:w="3119" w:type="dxa"/>
            <w:vAlign w:val="center"/>
          </w:tcPr>
          <w:p w14:paraId="4FD4A135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山东省立医院 王刚</w:t>
            </w:r>
          </w:p>
        </w:tc>
        <w:tc>
          <w:tcPr>
            <w:tcW w:w="1275" w:type="dxa"/>
            <w:vAlign w:val="center"/>
          </w:tcPr>
          <w:p w14:paraId="2B395462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李庆浩</w:t>
            </w:r>
          </w:p>
        </w:tc>
      </w:tr>
      <w:tr w14:paraId="5CC1A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3" w:type="dxa"/>
            <w:vAlign w:val="center"/>
          </w:tcPr>
          <w:p w14:paraId="770BB5C9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09:30-10:00</w:t>
            </w:r>
          </w:p>
        </w:tc>
        <w:tc>
          <w:tcPr>
            <w:tcW w:w="3427" w:type="dxa"/>
            <w:vAlign w:val="center"/>
          </w:tcPr>
          <w:p w14:paraId="1749C553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早产儿NEC的营养管理</w:t>
            </w:r>
          </w:p>
        </w:tc>
        <w:tc>
          <w:tcPr>
            <w:tcW w:w="3119" w:type="dxa"/>
            <w:vAlign w:val="center"/>
          </w:tcPr>
          <w:p w14:paraId="0423CAD0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山东省立医医院 于永慧</w:t>
            </w:r>
          </w:p>
        </w:tc>
        <w:tc>
          <w:tcPr>
            <w:tcW w:w="1275" w:type="dxa"/>
            <w:vAlign w:val="center"/>
          </w:tcPr>
          <w:p w14:paraId="6C282FE1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姚  国</w:t>
            </w:r>
          </w:p>
        </w:tc>
      </w:tr>
      <w:tr w14:paraId="1FDC7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3" w:type="dxa"/>
            <w:vAlign w:val="center"/>
          </w:tcPr>
          <w:p w14:paraId="0CED46D8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10:00-10:30</w:t>
            </w:r>
          </w:p>
        </w:tc>
        <w:tc>
          <w:tcPr>
            <w:tcW w:w="3427" w:type="dxa"/>
            <w:vAlign w:val="center"/>
          </w:tcPr>
          <w:p w14:paraId="05C3723D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儿童围手术期营养管理</w:t>
            </w:r>
          </w:p>
        </w:tc>
        <w:tc>
          <w:tcPr>
            <w:tcW w:w="3119" w:type="dxa"/>
            <w:vAlign w:val="center"/>
          </w:tcPr>
          <w:p w14:paraId="36023041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泰安市妇幼保健院 封志强</w:t>
            </w:r>
          </w:p>
        </w:tc>
        <w:tc>
          <w:tcPr>
            <w:tcW w:w="1275" w:type="dxa"/>
            <w:vAlign w:val="center"/>
          </w:tcPr>
          <w:p w14:paraId="0D01F9E5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明  明</w:t>
            </w:r>
          </w:p>
        </w:tc>
      </w:tr>
      <w:tr w14:paraId="60B1E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3" w:type="dxa"/>
            <w:vAlign w:val="center"/>
          </w:tcPr>
          <w:p w14:paraId="67B02CBD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10:30-11:00</w:t>
            </w:r>
          </w:p>
        </w:tc>
        <w:tc>
          <w:tcPr>
            <w:tcW w:w="3427" w:type="dxa"/>
            <w:vAlign w:val="center"/>
          </w:tcPr>
          <w:p w14:paraId="6CB14C2A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儿童肠内营养的实施和管理</w:t>
            </w:r>
          </w:p>
        </w:tc>
        <w:tc>
          <w:tcPr>
            <w:tcW w:w="3119" w:type="dxa"/>
            <w:vAlign w:val="center"/>
          </w:tcPr>
          <w:p w14:paraId="68C3CA9C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山东省立医院 刘海燕</w:t>
            </w:r>
          </w:p>
        </w:tc>
        <w:tc>
          <w:tcPr>
            <w:tcW w:w="1275" w:type="dxa"/>
            <w:vAlign w:val="center"/>
          </w:tcPr>
          <w:p w14:paraId="3A40BD7B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张广友</w:t>
            </w:r>
          </w:p>
        </w:tc>
      </w:tr>
      <w:tr w14:paraId="1B060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3" w:type="dxa"/>
            <w:vAlign w:val="center"/>
          </w:tcPr>
          <w:p w14:paraId="23DF26A0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11:00-11:30</w:t>
            </w:r>
          </w:p>
        </w:tc>
        <w:tc>
          <w:tcPr>
            <w:tcW w:w="3427" w:type="dxa"/>
            <w:vAlign w:val="center"/>
          </w:tcPr>
          <w:p w14:paraId="42D97B60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0"/>
              </w:rPr>
              <w:t>危重患儿营养支持的实践要点</w:t>
            </w:r>
          </w:p>
        </w:tc>
        <w:tc>
          <w:tcPr>
            <w:tcW w:w="3119" w:type="dxa"/>
            <w:vAlign w:val="center"/>
          </w:tcPr>
          <w:p w14:paraId="2C5EF502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山东大学齐鲁医院 王冠</w:t>
            </w:r>
          </w:p>
        </w:tc>
        <w:tc>
          <w:tcPr>
            <w:tcW w:w="1275" w:type="dxa"/>
            <w:vAlign w:val="center"/>
          </w:tcPr>
          <w:p w14:paraId="51EA0D1D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杨新利</w:t>
            </w:r>
          </w:p>
        </w:tc>
      </w:tr>
      <w:tr w14:paraId="6540F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0FAA751">
            <w:pPr>
              <w:spacing w:before="272" w:line="360" w:lineRule="auto"/>
              <w:jc w:val="center"/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11:30-12:00</w:t>
            </w:r>
          </w:p>
        </w:tc>
        <w:tc>
          <w:tcPr>
            <w:tcW w:w="7821" w:type="dxa"/>
            <w:gridSpan w:val="3"/>
            <w:vAlign w:val="center"/>
          </w:tcPr>
          <w:p w14:paraId="3AF1B1DB">
            <w:pPr>
              <w:spacing w:before="272" w:line="36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  <w:szCs w:val="20"/>
              </w:rPr>
              <w:t>讨论、总结</w:t>
            </w:r>
          </w:p>
        </w:tc>
      </w:tr>
    </w:tbl>
    <w:p w14:paraId="08BCD046">
      <w:pPr>
        <w:spacing w:before="272" w:line="360" w:lineRule="auto"/>
        <w:rPr>
          <w:rFonts w:hint="eastAsia" w:ascii="仿宋" w:hAnsi="仿宋" w:eastAsia="仿宋" w:cs="仿宋"/>
          <w:sz w:val="32"/>
          <w:szCs w:val="32"/>
        </w:rPr>
      </w:pPr>
    </w:p>
    <w:p w14:paraId="16E09087">
      <w:pPr>
        <w:spacing w:before="27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588" w:bottom="1440" w:left="1588" w:header="851" w:footer="454" w:gutter="0"/>
      <w:cols w:space="425" w:num="1"/>
      <w:docGrid w:type="lines" w:linePitch="544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armonyOS Sans SC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85633906"/>
      <w:docPartObj>
        <w:docPartGallery w:val="AutoText"/>
      </w:docPartObj>
    </w:sdtPr>
    <w:sdtEndPr>
      <w:rPr>
        <w:rFonts w:ascii="宋体" w:hAnsi="宋体" w:eastAsia="宋体"/>
        <w:sz w:val="21"/>
        <w:szCs w:val="21"/>
      </w:rPr>
    </w:sdtEndPr>
    <w:sdtContent>
      <w:p w14:paraId="7963987B">
        <w:pPr>
          <w:pStyle w:val="11"/>
          <w:spacing w:before="120"/>
          <w:jc w:val="center"/>
          <w:rPr>
            <w:rFonts w:hint="eastAsia" w:ascii="宋体" w:hAnsi="宋体" w:eastAsia="宋体"/>
            <w:sz w:val="21"/>
            <w:szCs w:val="21"/>
          </w:rPr>
        </w:pPr>
        <w:r>
          <w:rPr>
            <w:rFonts w:ascii="宋体" w:hAnsi="宋体" w:eastAsia="宋体"/>
            <w:sz w:val="21"/>
            <w:szCs w:val="21"/>
          </w:rPr>
          <w:fldChar w:fldCharType="begin"/>
        </w:r>
        <w:r>
          <w:rPr>
            <w:rFonts w:ascii="宋体" w:hAnsi="宋体" w:eastAsia="宋体"/>
            <w:sz w:val="21"/>
            <w:szCs w:val="21"/>
          </w:rPr>
          <w:instrText xml:space="preserve">PAGE   \* MERGEFORMAT</w:instrText>
        </w:r>
        <w:r>
          <w:rPr>
            <w:rFonts w:ascii="宋体" w:hAnsi="宋体" w:eastAsia="宋体"/>
            <w:sz w:val="21"/>
            <w:szCs w:val="21"/>
          </w:rPr>
          <w:fldChar w:fldCharType="separate"/>
        </w:r>
        <w:r>
          <w:rPr>
            <w:rFonts w:ascii="宋体" w:hAnsi="宋体" w:eastAsia="宋体"/>
            <w:sz w:val="21"/>
            <w:szCs w:val="21"/>
            <w:lang w:val="zh-CN"/>
          </w:rPr>
          <w:t>2</w:t>
        </w:r>
        <w:r>
          <w:rPr>
            <w:rFonts w:ascii="宋体" w:hAnsi="宋体" w:eastAsia="宋体"/>
            <w:sz w:val="21"/>
            <w:szCs w:val="21"/>
          </w:rPr>
          <w:fldChar w:fldCharType="end"/>
        </w:r>
      </w:p>
    </w:sdtContent>
  </w:sdt>
  <w:p w14:paraId="7268C971">
    <w:pPr>
      <w:pStyle w:val="11"/>
      <w:spacing w:before="12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F3ACE">
    <w:pPr>
      <w:pStyle w:val="11"/>
      <w:spacing w:before="12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79A9F">
    <w:pPr>
      <w:pStyle w:val="11"/>
      <w:spacing w:before="12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5349F">
    <w:pPr>
      <w:pStyle w:val="12"/>
      <w:spacing w:before="12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60D10">
    <w:pPr>
      <w:pStyle w:val="12"/>
      <w:spacing w:before="12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8BAFE">
    <w:pPr>
      <w:pStyle w:val="12"/>
      <w:spacing w:before="12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200"/>
  <w:drawingGridVerticalSpacing w:val="272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3B9"/>
    <w:rsid w:val="00140996"/>
    <w:rsid w:val="00252916"/>
    <w:rsid w:val="00422CFD"/>
    <w:rsid w:val="008E03B9"/>
    <w:rsid w:val="6E26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50" w:beforeLines="50" w:after="0" w:line="240" w:lineRule="auto"/>
      <w:jc w:val="both"/>
    </w:pPr>
    <w:rPr>
      <w:rFonts w:eastAsia="HarmonyOS Sans SC" w:asciiTheme="minorHAnsi" w:hAnsiTheme="minorHAnsi" w:cstheme="minorBidi"/>
      <w:kern w:val="2"/>
      <w:sz w:val="40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napToGrid/>
      <w:spacing w:before="480" w:beforeLines="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napToGrid/>
      <w:spacing w:before="160" w:beforeLines="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napToGrid/>
      <w:spacing w:before="160" w:beforeLines="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napToGrid/>
      <w:spacing w:before="80" w:beforeLines="0" w:after="40" w:line="278" w:lineRule="auto"/>
      <w:jc w:val="left"/>
      <w:outlineLvl w:val="3"/>
    </w:pPr>
    <w:rPr>
      <w:rFonts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napToGrid/>
      <w:spacing w:before="80" w:beforeLines="0" w:after="40" w:line="278" w:lineRule="auto"/>
      <w:jc w:val="left"/>
      <w:outlineLvl w:val="4"/>
    </w:pPr>
    <w:rPr>
      <w:rFonts w:eastAsiaTheme="minorEastAsia" w:cstheme="majorBidi"/>
      <w:color w:val="2F5597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napToGrid/>
      <w:spacing w:before="40" w:beforeLines="0" w:line="278" w:lineRule="auto"/>
      <w:jc w:val="left"/>
      <w:outlineLvl w:val="5"/>
    </w:pPr>
    <w:rPr>
      <w:rFonts w:eastAsiaTheme="minorEastAsia" w:cstheme="majorBidi"/>
      <w:b/>
      <w:bCs/>
      <w:color w:val="2F5597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napToGrid/>
      <w:spacing w:before="40" w:beforeLines="0" w:line="278" w:lineRule="auto"/>
      <w:jc w:val="left"/>
      <w:outlineLvl w:val="6"/>
    </w:pPr>
    <w:rPr>
      <w:rFonts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napToGrid/>
      <w:spacing w:before="0" w:beforeLines="0" w:line="278" w:lineRule="auto"/>
      <w:jc w:val="left"/>
      <w:outlineLvl w:val="7"/>
    </w:pPr>
    <w:rPr>
      <w:rFonts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napToGrid/>
      <w:spacing w:before="0" w:beforeLines="0"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napToGrid/>
      <w:spacing w:before="0" w:beforeLines="0"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snapToGrid/>
      <w:spacing w:before="0" w:beforeLines="0"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basedOn w:val="15"/>
    <w:qFormat/>
    <w:uiPriority w:val="39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napToGrid/>
      <w:spacing w:before="160" w:beforeLines="0" w:after="160" w:line="278" w:lineRule="auto"/>
      <w:jc w:val="center"/>
    </w:pPr>
    <w:rPr>
      <w:rFonts w:eastAsiaTheme="minorEastAsia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napToGrid/>
      <w:spacing w:before="0" w:beforeLines="0" w:after="160" w:line="278" w:lineRule="auto"/>
      <w:ind w:left="720"/>
      <w:contextualSpacing/>
      <w:jc w:val="left"/>
    </w:pPr>
    <w:rPr>
      <w:rFonts w:eastAsiaTheme="minorEastAsia"/>
      <w:sz w:val="22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napToGrid/>
      <w:spacing w:before="360" w:beforeLines="0" w:after="360" w:line="278" w:lineRule="auto"/>
      <w:ind w:left="864" w:right="864"/>
      <w:jc w:val="center"/>
    </w:pPr>
    <w:rPr>
      <w:rFonts w:eastAsiaTheme="minorEastAsia"/>
      <w:i/>
      <w:iCs/>
      <w:color w:val="2F5597" w:themeColor="accent1" w:themeShade="BF"/>
      <w:sz w:val="22"/>
      <w14:ligatures w14:val="standardContextual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rFonts w:eastAsia="HarmonyOS Sans SC"/>
      <w:sz w:val="18"/>
      <w:szCs w:val="18"/>
      <w14:ligatures w14:val="none"/>
    </w:rPr>
  </w:style>
  <w:style w:type="character" w:customStyle="1" w:styleId="37">
    <w:name w:val="页脚 字符"/>
    <w:basedOn w:val="17"/>
    <w:link w:val="11"/>
    <w:qFormat/>
    <w:uiPriority w:val="99"/>
    <w:rPr>
      <w:rFonts w:eastAsia="HarmonyOS Sans SC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362</Words>
  <Characters>389</Characters>
  <Lines>7</Lines>
  <Paragraphs>1</Paragraphs>
  <TotalTime>0</TotalTime>
  <ScaleCrop>false</ScaleCrop>
  <LinksUpToDate>false</LinksUpToDate>
  <CharactersWithSpaces>389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2026-10-08T07:06:00Z</dcterms:created>
  <dc:creator>sun sun</dc:creator>
  <cp:lastModifiedBy>韩枫</cp:lastModifiedBy>
  <cp:lastPrinted>2026-10-08T07:08:00Z</cp:lastPrinted>
  <dcterms:modified xsi:type="dcterms:W3CDTF">2026-10-08T07:11:02Z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eyJoZGlkIjoiYThlNmZlMmU2OWE4ZjEzZDc2ZGVhMTg2MDc1MTk0N2IiLCJ1c2VySWQiOiIzMTc5ODg2MjMifQ==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ED57F7E4AE14498DA4A987C67727A141_13</vt:lpwstr>
  </property>
</Properties>
</file>